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overflowPunct w:val="0"/>
        <w:spacing w:line="580" w:lineRule="exact"/>
        <w:ind w:firstLine="0" w:firstLineChars="0"/>
        <w:jc w:val="left"/>
        <w:rPr>
          <w:rFonts w:ascii="黑体" w:hAnsi="黑体" w:eastAsia="黑体" w:cs="黑体"/>
          <w:lang w:eastAsia="zh-CN"/>
        </w:rPr>
      </w:pPr>
      <w:r>
        <w:rPr>
          <w:rFonts w:hint="eastAsia" w:ascii="黑体" w:hAnsi="黑体" w:eastAsia="黑体" w:cs="黑体"/>
          <w:lang w:eastAsia="zh-CN"/>
        </w:rPr>
        <w:t>附件</w:t>
      </w:r>
      <w:r>
        <w:rPr>
          <w:rFonts w:hint="eastAsia" w:ascii="黑体" w:hAnsi="黑体" w:eastAsia="黑体" w:cs="黑体"/>
          <w:lang w:val="en-US" w:eastAsia="zh-CN"/>
        </w:rPr>
        <w:t>4</w:t>
      </w: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spacing w:line="480" w:lineRule="auto"/>
        <w:ind w:firstLine="0" w:firstLineChars="0"/>
        <w:jc w:val="center"/>
        <w:rPr>
          <w:rFonts w:ascii="方正小标宋简体" w:eastAsia="方正小标宋简体"/>
          <w:color w:val="auto"/>
          <w:sz w:val="44"/>
          <w:szCs w:val="44"/>
          <w:lang w:eastAsia="zh-CN"/>
        </w:rPr>
      </w:pPr>
    </w:p>
    <w:p>
      <w:pPr>
        <w:widowControl w:val="0"/>
        <w:spacing w:line="480" w:lineRule="auto"/>
        <w:ind w:firstLine="0" w:firstLineChars="0"/>
        <w:jc w:val="center"/>
        <w:rPr>
          <w:rFonts w:ascii="方正小标宋简体" w:eastAsia="方正小标宋简体"/>
          <w:color w:val="auto"/>
          <w:sz w:val="44"/>
          <w:szCs w:val="44"/>
          <w:lang w:eastAsia="zh-CN"/>
        </w:rPr>
      </w:pPr>
      <w:r>
        <w:rPr>
          <w:rFonts w:hint="eastAsia" w:ascii="方正小标宋简体" w:eastAsia="方正小标宋简体"/>
          <w:color w:val="auto"/>
          <w:sz w:val="44"/>
          <w:szCs w:val="44"/>
          <w:lang w:eastAsia="zh-CN"/>
        </w:rPr>
        <w:t>生物制品注册受理审查指南</w:t>
      </w:r>
    </w:p>
    <w:p>
      <w:pPr>
        <w:widowControl w:val="0"/>
        <w:spacing w:line="480" w:lineRule="auto"/>
        <w:ind w:firstLine="0" w:firstLineChars="0"/>
        <w:jc w:val="center"/>
        <w:rPr>
          <w:rFonts w:ascii="方正小标宋简体" w:eastAsia="方正小标宋简体"/>
          <w:color w:val="auto"/>
          <w:sz w:val="44"/>
          <w:szCs w:val="44"/>
          <w:lang w:eastAsia="zh-CN"/>
        </w:rPr>
      </w:pPr>
      <w:r>
        <w:rPr>
          <w:rFonts w:hint="eastAsia" w:ascii="方正小标宋简体" w:eastAsia="方正小标宋简体"/>
          <w:color w:val="auto"/>
          <w:sz w:val="44"/>
          <w:szCs w:val="44"/>
          <w:lang w:eastAsia="zh-CN"/>
        </w:rPr>
        <w:t>（第一部分 预防用生物制品）</w:t>
      </w:r>
    </w:p>
    <w:p>
      <w:pPr>
        <w:widowControl w:val="0"/>
        <w:spacing w:line="480" w:lineRule="auto"/>
        <w:ind w:firstLine="0" w:firstLineChars="0"/>
        <w:jc w:val="center"/>
        <w:rPr>
          <w:rFonts w:ascii="方正小标宋简体" w:eastAsia="方正小标宋简体"/>
          <w:color w:val="auto"/>
          <w:sz w:val="44"/>
          <w:szCs w:val="44"/>
          <w:lang w:eastAsia="zh-CN"/>
        </w:rPr>
      </w:pPr>
      <w:r>
        <w:rPr>
          <w:rFonts w:hint="eastAsia" w:ascii="方正小标宋简体" w:eastAsia="方正小标宋简体"/>
          <w:color w:val="auto"/>
          <w:sz w:val="44"/>
          <w:szCs w:val="44"/>
          <w:lang w:eastAsia="zh-CN"/>
        </w:rPr>
        <w:t>（征求</w:t>
      </w:r>
      <w:r>
        <w:rPr>
          <w:rFonts w:ascii="方正小标宋简体" w:eastAsia="方正小标宋简体"/>
          <w:color w:val="auto"/>
          <w:sz w:val="44"/>
          <w:szCs w:val="44"/>
          <w:lang w:eastAsia="zh-CN"/>
        </w:rPr>
        <w:t>意见稿</w:t>
      </w:r>
      <w:r>
        <w:rPr>
          <w:rFonts w:hint="eastAsia" w:ascii="方正小标宋简体" w:eastAsia="方正小标宋简体"/>
          <w:color w:val="auto"/>
          <w:sz w:val="44"/>
          <w:szCs w:val="44"/>
          <w:lang w:eastAsia="zh-CN"/>
        </w:rPr>
        <w:t>）</w:t>
      </w:r>
    </w:p>
    <w:p>
      <w:pPr>
        <w:widowControl w:val="0"/>
        <w:overflowPunct w:val="0"/>
        <w:spacing w:line="580" w:lineRule="exact"/>
        <w:ind w:firstLine="720"/>
        <w:jc w:val="center"/>
        <w:rPr>
          <w:rFonts w:ascii="黑体" w:hAnsi="黑体" w:eastAsia="黑体" w:cs="仿宋_GB2312"/>
          <w:sz w:val="36"/>
          <w:szCs w:val="36"/>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overflowPunct w:val="0"/>
        <w:spacing w:line="580" w:lineRule="exact"/>
        <w:jc w:val="center"/>
        <w:rPr>
          <w:rFonts w:eastAsia="仿宋"/>
          <w:sz w:val="30"/>
          <w:szCs w:val="30"/>
          <w:lang w:eastAsia="zh-CN"/>
        </w:rPr>
      </w:pPr>
    </w:p>
    <w:p>
      <w:pPr>
        <w:widowControl w:val="0"/>
        <w:spacing w:line="580" w:lineRule="exact"/>
        <w:jc w:val="center"/>
        <w:rPr>
          <w:rFonts w:eastAsia="仿宋"/>
          <w:sz w:val="30"/>
          <w:szCs w:val="30"/>
          <w:lang w:eastAsia="zh-CN"/>
        </w:rPr>
      </w:pPr>
    </w:p>
    <w:p>
      <w:pPr>
        <w:widowControl w:val="0"/>
        <w:spacing w:line="580" w:lineRule="exact"/>
        <w:jc w:val="center"/>
        <w:rPr>
          <w:rFonts w:eastAsia="仿宋"/>
          <w:sz w:val="30"/>
          <w:szCs w:val="30"/>
          <w:lang w:eastAsia="zh-CN"/>
        </w:rPr>
      </w:pPr>
    </w:p>
    <w:p>
      <w:pPr>
        <w:widowControl w:val="0"/>
        <w:spacing w:line="580" w:lineRule="exact"/>
        <w:ind w:firstLine="181" w:firstLineChars="0"/>
        <w:jc w:val="center"/>
        <w:rPr>
          <w:rFonts w:ascii="仿宋_GB2312" w:cs="仿宋"/>
          <w:lang w:eastAsia="zh-CN"/>
        </w:rPr>
      </w:pPr>
      <w:r>
        <w:rPr>
          <w:rFonts w:hint="eastAsia" w:ascii="仿宋_GB2312" w:cs="仿宋"/>
          <w:lang w:eastAsia="zh-CN"/>
        </w:rPr>
        <w:t>国家药品监督管理局</w:t>
      </w:r>
    </w:p>
    <w:p>
      <w:pPr>
        <w:widowControl w:val="0"/>
        <w:spacing w:line="300" w:lineRule="auto"/>
        <w:ind w:firstLine="0" w:firstLineChars="0"/>
        <w:jc w:val="center"/>
        <w:rPr>
          <w:rFonts w:ascii="仿宋_GB2312"/>
          <w:color w:val="auto"/>
          <w:lang w:eastAsia="zh-CN"/>
        </w:rPr>
      </w:pPr>
      <w:r>
        <w:rPr>
          <w:color w:val="auto"/>
          <w:lang w:eastAsia="zh-CN"/>
        </w:rPr>
        <w:t>2020</w:t>
      </w:r>
      <w:r>
        <w:rPr>
          <w:rFonts w:hint="eastAsia"/>
          <w:color w:val="auto"/>
          <w:lang w:eastAsia="zh-CN"/>
        </w:rPr>
        <w:t>年</w:t>
      </w:r>
      <w:r>
        <w:rPr>
          <w:color w:val="auto"/>
          <w:lang w:eastAsia="zh-CN"/>
        </w:rPr>
        <w:t xml:space="preserve"> </w:t>
      </w:r>
      <w:r>
        <w:rPr>
          <w:rFonts w:hint="eastAsia"/>
          <w:color w:val="auto"/>
          <w:lang w:eastAsia="zh-CN"/>
        </w:rPr>
        <w:t xml:space="preserve">月 </w:t>
      </w:r>
      <w:r>
        <w:rPr>
          <w:rFonts w:hint="eastAsia" w:ascii="仿宋_GB2312"/>
          <w:color w:val="auto"/>
          <w:lang w:eastAsia="zh-CN"/>
        </w:rPr>
        <w:t>日</w:t>
      </w:r>
    </w:p>
    <w:p>
      <w:pPr>
        <w:pStyle w:val="19"/>
        <w:widowControl w:val="0"/>
        <w:tabs>
          <w:tab w:val="right" w:leader="dot" w:pos="8296"/>
        </w:tabs>
        <w:spacing w:line="560" w:lineRule="exact"/>
        <w:ind w:left="0" w:leftChars="0" w:firstLine="0" w:firstLineChars="0"/>
        <w:jc w:val="center"/>
        <w:rPr>
          <w:rFonts w:ascii="方正小标宋简体" w:hAnsi="黑体" w:eastAsia="方正小标宋简体"/>
          <w:sz w:val="44"/>
          <w:szCs w:val="44"/>
        </w:rPr>
      </w:pPr>
    </w:p>
    <w:p>
      <w:pPr>
        <w:pStyle w:val="19"/>
        <w:widowControl w:val="0"/>
        <w:tabs>
          <w:tab w:val="right" w:leader="dot" w:pos="8296"/>
        </w:tabs>
        <w:spacing w:line="560" w:lineRule="exact"/>
        <w:ind w:left="0" w:leftChars="0"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目</w:t>
      </w:r>
      <w:r>
        <w:rPr>
          <w:rFonts w:ascii="方正小标宋简体" w:hAnsi="黑体" w:eastAsia="方正小标宋简体"/>
          <w:sz w:val="44"/>
          <w:szCs w:val="44"/>
        </w:rPr>
        <w:t xml:space="preserve"> </w:t>
      </w:r>
      <w:r>
        <w:rPr>
          <w:rFonts w:hint="eastAsia" w:ascii="方正小标宋简体" w:hAnsi="黑体" w:eastAsia="方正小标宋简体"/>
          <w:sz w:val="44"/>
          <w:szCs w:val="44"/>
        </w:rPr>
        <w:t xml:space="preserve">   录</w:t>
      </w:r>
    </w:p>
    <w:p>
      <w:pPr>
        <w:widowControl w:val="0"/>
        <w:tabs>
          <w:tab w:val="right" w:leader="dot" w:pos="8296"/>
        </w:tabs>
        <w:spacing w:line="560" w:lineRule="exact"/>
        <w:ind w:firstLine="0" w:firstLineChars="0"/>
        <w:jc w:val="center"/>
        <w:rPr>
          <w:rStyle w:val="38"/>
          <w:rFonts w:eastAsia="方正小标宋简体"/>
          <w:u w:val="none"/>
        </w:rPr>
      </w:pPr>
      <w:r>
        <w:rPr>
          <w:lang w:eastAsia="zh-CN"/>
        </w:rPr>
        <w:fldChar w:fldCharType="begin"/>
      </w:r>
      <w:r>
        <w:rPr>
          <w:lang w:eastAsia="zh-CN"/>
        </w:rPr>
        <w:instrText xml:space="preserve"> TOC \o "1-4" \h \z \u </w:instrText>
      </w:r>
      <w:r>
        <w:rPr>
          <w:lang w:eastAsia="zh-CN"/>
        </w:rPr>
        <w:fldChar w:fldCharType="separate"/>
      </w:r>
      <w:r>
        <w:fldChar w:fldCharType="begin"/>
      </w:r>
      <w:r>
        <w:instrText xml:space="preserve"> HYPERLINK \l "_Toc33798927" </w:instrText>
      </w:r>
      <w:r>
        <w:fldChar w:fldCharType="separate"/>
      </w:r>
      <w:r>
        <w:rPr>
          <w:rStyle w:val="38"/>
          <w:rFonts w:eastAsia="方正小标宋简体"/>
          <w:u w:val="none"/>
        </w:rPr>
        <w:t>一、适用范围</w:t>
      </w:r>
      <w:r>
        <w:rPr>
          <w:rStyle w:val="38"/>
          <w:rFonts w:eastAsia="方正小标宋简体"/>
          <w:u w:val="none"/>
        </w:rPr>
        <w:tab/>
      </w:r>
      <w:r>
        <w:rPr>
          <w:rStyle w:val="38"/>
          <w:rFonts w:eastAsia="方正小标宋简体"/>
          <w:u w:val="none"/>
        </w:rPr>
        <w:t>1</w:t>
      </w:r>
      <w:r>
        <w:rPr>
          <w:rStyle w:val="38"/>
          <w:rFonts w:eastAsia="方正小标宋简体"/>
          <w:u w:val="none"/>
        </w:rPr>
        <w:fldChar w:fldCharType="end"/>
      </w:r>
    </w:p>
    <w:p>
      <w:pPr>
        <w:widowControl w:val="0"/>
        <w:tabs>
          <w:tab w:val="right" w:leader="dot" w:pos="8296"/>
        </w:tabs>
        <w:spacing w:line="560" w:lineRule="exact"/>
        <w:ind w:firstLine="0" w:firstLineChars="0"/>
        <w:jc w:val="center"/>
        <w:rPr>
          <w:rStyle w:val="38"/>
          <w:rFonts w:eastAsia="方正小标宋简体"/>
          <w:u w:val="none"/>
        </w:rPr>
      </w:pPr>
      <w:r>
        <w:fldChar w:fldCharType="begin"/>
      </w:r>
      <w:r>
        <w:instrText xml:space="preserve"> HYPERLINK \l "_Toc33798928" </w:instrText>
      </w:r>
      <w:r>
        <w:fldChar w:fldCharType="separate"/>
      </w:r>
      <w:r>
        <w:rPr>
          <w:rStyle w:val="38"/>
          <w:rFonts w:eastAsia="方正小标宋简体"/>
          <w:u w:val="none"/>
        </w:rPr>
        <w:t>二、受理部门</w:t>
      </w:r>
      <w:r>
        <w:rPr>
          <w:rStyle w:val="38"/>
          <w:rFonts w:eastAsia="方正小标宋简体"/>
          <w:u w:val="none"/>
        </w:rPr>
        <w:tab/>
      </w:r>
      <w:r>
        <w:rPr>
          <w:rStyle w:val="38"/>
          <w:rFonts w:eastAsia="方正小标宋简体"/>
          <w:u w:val="none"/>
        </w:rPr>
        <w:fldChar w:fldCharType="begin"/>
      </w:r>
      <w:r>
        <w:rPr>
          <w:rStyle w:val="38"/>
          <w:rFonts w:eastAsia="方正小标宋简体"/>
          <w:u w:val="none"/>
        </w:rPr>
        <w:instrText xml:space="preserve"> PAGEREF _Toc33798928 \h </w:instrText>
      </w:r>
      <w:r>
        <w:rPr>
          <w:rStyle w:val="38"/>
          <w:rFonts w:eastAsia="方正小标宋简体"/>
          <w:u w:val="none"/>
        </w:rPr>
        <w:fldChar w:fldCharType="separate"/>
      </w:r>
      <w:r>
        <w:rPr>
          <w:rStyle w:val="38"/>
          <w:rFonts w:eastAsia="方正小标宋简体"/>
          <w:u w:val="none"/>
        </w:rPr>
        <w:t>1</w:t>
      </w:r>
      <w:r>
        <w:rPr>
          <w:rStyle w:val="38"/>
          <w:rFonts w:eastAsia="方正小标宋简体"/>
          <w:u w:val="none"/>
        </w:rPr>
        <w:fldChar w:fldCharType="end"/>
      </w:r>
      <w:r>
        <w:rPr>
          <w:rStyle w:val="38"/>
          <w:rFonts w:eastAsia="方正小标宋简体"/>
          <w:u w:val="none"/>
        </w:rPr>
        <w:fldChar w:fldCharType="end"/>
      </w:r>
    </w:p>
    <w:p>
      <w:pPr>
        <w:widowControl w:val="0"/>
        <w:tabs>
          <w:tab w:val="right" w:leader="dot" w:pos="8296"/>
        </w:tabs>
        <w:spacing w:line="560" w:lineRule="exact"/>
        <w:ind w:firstLine="0" w:firstLineChars="0"/>
        <w:jc w:val="center"/>
        <w:rPr>
          <w:rFonts w:eastAsia="方正小标宋简体"/>
          <w:sz w:val="21"/>
          <w:szCs w:val="22"/>
          <w:lang w:eastAsia="zh-CN"/>
        </w:rPr>
      </w:pPr>
      <w:r>
        <w:fldChar w:fldCharType="begin"/>
      </w:r>
      <w:r>
        <w:instrText xml:space="preserve"> HYPERLINK \l "_Toc33798929" </w:instrText>
      </w:r>
      <w:r>
        <w:fldChar w:fldCharType="separate"/>
      </w:r>
      <w:r>
        <w:rPr>
          <w:rStyle w:val="38"/>
          <w:rFonts w:eastAsia="方正小标宋简体"/>
          <w:u w:val="none"/>
        </w:rPr>
        <w:t>三、资料基本要求</w:t>
      </w:r>
      <w:r>
        <w:rPr>
          <w:rStyle w:val="38"/>
          <w:rFonts w:eastAsia="方正小标宋简体"/>
          <w:u w:val="none"/>
        </w:rPr>
        <w:tab/>
      </w:r>
      <w:r>
        <w:rPr>
          <w:rStyle w:val="38"/>
          <w:rFonts w:eastAsia="方正小标宋简体"/>
          <w:u w:val="none"/>
        </w:rPr>
        <w:fldChar w:fldCharType="begin"/>
      </w:r>
      <w:r>
        <w:rPr>
          <w:rStyle w:val="38"/>
          <w:rFonts w:eastAsia="方正小标宋简体"/>
          <w:u w:val="none"/>
        </w:rPr>
        <w:instrText xml:space="preserve"> PAGEREF _Toc33798929 \h </w:instrText>
      </w:r>
      <w:r>
        <w:rPr>
          <w:rStyle w:val="38"/>
          <w:rFonts w:eastAsia="方正小标宋简体"/>
          <w:u w:val="none"/>
        </w:rPr>
        <w:fldChar w:fldCharType="separate"/>
      </w:r>
      <w:r>
        <w:rPr>
          <w:rStyle w:val="38"/>
          <w:rFonts w:eastAsia="方正小标宋简体"/>
          <w:u w:val="none"/>
        </w:rPr>
        <w:t>1</w:t>
      </w:r>
      <w:r>
        <w:rPr>
          <w:rStyle w:val="38"/>
          <w:rFonts w:eastAsia="方正小标宋简体"/>
          <w:u w:val="none"/>
        </w:rPr>
        <w:fldChar w:fldCharType="end"/>
      </w:r>
      <w:r>
        <w:rPr>
          <w:rStyle w:val="38"/>
          <w:rFonts w:eastAsia="方正小标宋简体"/>
          <w:u w:val="none"/>
        </w:rPr>
        <w:fldChar w:fldCharType="end"/>
      </w:r>
    </w:p>
    <w:p>
      <w:pPr>
        <w:widowControl w:val="0"/>
        <w:tabs>
          <w:tab w:val="right" w:leader="dot" w:pos="8296"/>
        </w:tabs>
        <w:adjustRightInd w:val="0"/>
        <w:snapToGrid w:val="0"/>
        <w:spacing w:line="560" w:lineRule="exact"/>
        <w:ind w:firstLine="640"/>
        <w:jc w:val="center"/>
        <w:rPr>
          <w:rFonts w:eastAsia="方正小标宋简体"/>
          <w:sz w:val="21"/>
          <w:szCs w:val="22"/>
          <w:lang w:eastAsia="zh-CN"/>
        </w:rPr>
      </w:pPr>
      <w:r>
        <w:fldChar w:fldCharType="begin"/>
      </w:r>
      <w:r>
        <w:instrText xml:space="preserve"> HYPERLINK \l "_Toc33798930" </w:instrText>
      </w:r>
      <w:r>
        <w:fldChar w:fldCharType="separate"/>
      </w:r>
      <w:r>
        <w:rPr>
          <w:rStyle w:val="38"/>
          <w:rFonts w:hint="eastAsia" w:ascii="楷体_GB2312"/>
          <w:color w:val="auto"/>
          <w:u w:val="none"/>
          <w:lang w:eastAsia="zh-CN"/>
        </w:rPr>
        <w:t>（一）申请表的整理</w:t>
      </w:r>
      <w:r>
        <w:rPr>
          <w:rFonts w:hint="eastAsia" w:eastAsia="方正小标宋简体"/>
          <w:lang w:eastAsia="zh-CN"/>
        </w:rPr>
        <w:tab/>
      </w:r>
      <w:r>
        <w:rPr>
          <w:rStyle w:val="38"/>
          <w:rFonts w:hint="eastAsia" w:eastAsia="方正小标宋简体"/>
          <w:color w:val="auto"/>
          <w:u w:val="none"/>
        </w:rPr>
        <w:fldChar w:fldCharType="begin"/>
      </w:r>
      <w:r>
        <w:rPr>
          <w:rStyle w:val="38"/>
          <w:rFonts w:hint="eastAsia" w:eastAsia="方正小标宋简体"/>
          <w:color w:val="auto"/>
          <w:u w:val="none"/>
        </w:rPr>
        <w:instrText xml:space="preserve"> PAGEREF _Toc33798930 \h </w:instrText>
      </w:r>
      <w:r>
        <w:rPr>
          <w:rStyle w:val="38"/>
          <w:rFonts w:hint="eastAsia" w:eastAsia="方正小标宋简体"/>
          <w:color w:val="auto"/>
          <w:u w:val="none"/>
        </w:rPr>
        <w:fldChar w:fldCharType="separate"/>
      </w:r>
      <w:r>
        <w:rPr>
          <w:rStyle w:val="38"/>
          <w:rFonts w:hint="eastAsia" w:eastAsia="方正小标宋简体"/>
          <w:color w:val="auto"/>
          <w:u w:val="none"/>
        </w:rPr>
        <w:t>1</w:t>
      </w:r>
      <w:r>
        <w:rPr>
          <w:rStyle w:val="38"/>
          <w:rFonts w:hint="eastAsia" w:eastAsia="方正小标宋简体"/>
          <w:color w:val="auto"/>
          <w:u w:val="none"/>
        </w:rPr>
        <w:fldChar w:fldCharType="end"/>
      </w:r>
      <w:r>
        <w:rPr>
          <w:rStyle w:val="38"/>
          <w:rFonts w:hint="eastAsia" w:eastAsia="方正小标宋简体"/>
          <w:color w:val="auto"/>
          <w:u w:val="none"/>
        </w:rPr>
        <w:fldChar w:fldCharType="end"/>
      </w:r>
    </w:p>
    <w:p>
      <w:pPr>
        <w:widowControl w:val="0"/>
        <w:tabs>
          <w:tab w:val="right" w:leader="dot" w:pos="8296"/>
        </w:tabs>
        <w:adjustRightInd w:val="0"/>
        <w:snapToGrid w:val="0"/>
        <w:spacing w:line="560" w:lineRule="exact"/>
        <w:ind w:firstLine="640"/>
        <w:jc w:val="center"/>
        <w:rPr>
          <w:rFonts w:eastAsia="方正小标宋简体"/>
          <w:sz w:val="21"/>
          <w:szCs w:val="22"/>
          <w:lang w:eastAsia="zh-CN"/>
        </w:rPr>
      </w:pPr>
      <w:r>
        <w:fldChar w:fldCharType="begin"/>
      </w:r>
      <w:r>
        <w:instrText xml:space="preserve"> HYPERLINK \l "_Toc33798931" </w:instrText>
      </w:r>
      <w:r>
        <w:fldChar w:fldCharType="separate"/>
      </w:r>
      <w:r>
        <w:rPr>
          <w:rStyle w:val="38"/>
          <w:rFonts w:hint="eastAsia" w:ascii="楷体_GB2312"/>
          <w:color w:val="auto"/>
          <w:u w:val="none"/>
          <w:lang w:eastAsia="zh-CN"/>
        </w:rPr>
        <w:t>（二）申报资料的整理</w:t>
      </w:r>
      <w:r>
        <w:rPr>
          <w:rFonts w:hint="eastAsia" w:eastAsia="方正小标宋简体"/>
          <w:lang w:eastAsia="zh-CN"/>
        </w:rPr>
        <w:tab/>
      </w:r>
      <w:r>
        <w:rPr>
          <w:rStyle w:val="38"/>
          <w:rFonts w:hint="eastAsia" w:eastAsia="方正小标宋简体"/>
          <w:color w:val="auto"/>
          <w:u w:val="none"/>
        </w:rPr>
        <w:fldChar w:fldCharType="begin"/>
      </w:r>
      <w:r>
        <w:rPr>
          <w:rStyle w:val="38"/>
          <w:rFonts w:hint="eastAsia" w:eastAsia="方正小标宋简体"/>
          <w:color w:val="auto"/>
          <w:u w:val="none"/>
        </w:rPr>
        <w:instrText xml:space="preserve"> PAGEREF _Toc33798931 \h </w:instrText>
      </w:r>
      <w:r>
        <w:rPr>
          <w:rStyle w:val="38"/>
          <w:rFonts w:hint="eastAsia" w:eastAsia="方正小标宋简体"/>
          <w:color w:val="auto"/>
          <w:u w:val="none"/>
        </w:rPr>
        <w:fldChar w:fldCharType="separate"/>
      </w:r>
      <w:r>
        <w:rPr>
          <w:rStyle w:val="38"/>
          <w:rFonts w:hint="eastAsia" w:eastAsia="方正小标宋简体"/>
          <w:color w:val="auto"/>
          <w:u w:val="none"/>
        </w:rPr>
        <w:t>1</w:t>
      </w:r>
      <w:r>
        <w:rPr>
          <w:rStyle w:val="38"/>
          <w:rFonts w:hint="eastAsia" w:eastAsia="方正小标宋简体"/>
          <w:color w:val="auto"/>
          <w:u w:val="none"/>
        </w:rPr>
        <w:fldChar w:fldCharType="end"/>
      </w:r>
      <w:r>
        <w:rPr>
          <w:rStyle w:val="38"/>
          <w:rFonts w:hint="eastAsia" w:eastAsia="方正小标宋简体"/>
          <w:color w:val="auto"/>
          <w:u w:val="none"/>
        </w:rPr>
        <w:fldChar w:fldCharType="end"/>
      </w:r>
    </w:p>
    <w:p>
      <w:pPr>
        <w:widowControl w:val="0"/>
        <w:tabs>
          <w:tab w:val="right" w:leader="dot" w:pos="8296"/>
        </w:tabs>
        <w:spacing w:line="560" w:lineRule="exact"/>
        <w:ind w:firstLine="0" w:firstLineChars="0"/>
        <w:jc w:val="center"/>
        <w:rPr>
          <w:rStyle w:val="38"/>
          <w:rFonts w:eastAsia="方正小标宋简体"/>
          <w:u w:val="none"/>
        </w:rPr>
      </w:pPr>
      <w:r>
        <w:fldChar w:fldCharType="begin"/>
      </w:r>
      <w:r>
        <w:instrText xml:space="preserve"> HYPERLINK \l "_Toc33798932" </w:instrText>
      </w:r>
      <w:r>
        <w:fldChar w:fldCharType="separate"/>
      </w:r>
      <w:r>
        <w:rPr>
          <w:rStyle w:val="38"/>
          <w:rFonts w:eastAsia="方正小标宋简体"/>
          <w:u w:val="none"/>
        </w:rPr>
        <w:t>四、</w:t>
      </w:r>
      <w:r>
        <w:rPr>
          <w:rStyle w:val="38"/>
          <w:rFonts w:hint="eastAsia" w:eastAsia="方正小标宋简体"/>
          <w:u w:val="none"/>
        </w:rPr>
        <w:t>形式</w:t>
      </w:r>
      <w:r>
        <w:rPr>
          <w:rStyle w:val="38"/>
          <w:rFonts w:eastAsia="方正小标宋简体"/>
          <w:u w:val="none"/>
        </w:rPr>
        <w:t>审查要点</w:t>
      </w:r>
      <w:r>
        <w:rPr>
          <w:rStyle w:val="38"/>
          <w:rFonts w:eastAsia="方正小标宋简体"/>
          <w:u w:val="none"/>
        </w:rPr>
        <w:tab/>
      </w:r>
      <w:r>
        <w:rPr>
          <w:rStyle w:val="38"/>
          <w:rFonts w:eastAsia="方正小标宋简体"/>
          <w:u w:val="none"/>
        </w:rPr>
        <w:t>2</w:t>
      </w:r>
      <w:r>
        <w:rPr>
          <w:rStyle w:val="38"/>
          <w:rFonts w:eastAsia="方正小标宋简体"/>
          <w:u w:val="none"/>
        </w:rPr>
        <w:fldChar w:fldCharType="end"/>
      </w:r>
    </w:p>
    <w:p>
      <w:pPr>
        <w:widowControl w:val="0"/>
        <w:tabs>
          <w:tab w:val="right" w:leader="dot" w:pos="8296"/>
        </w:tabs>
        <w:adjustRightInd w:val="0"/>
        <w:snapToGrid w:val="0"/>
        <w:spacing w:line="560" w:lineRule="exact"/>
        <w:ind w:firstLine="640"/>
        <w:jc w:val="center"/>
        <w:rPr>
          <w:rFonts w:eastAsia="方正小标宋简体"/>
          <w:lang w:eastAsia="zh-CN"/>
        </w:rPr>
      </w:pPr>
      <w:r>
        <w:fldChar w:fldCharType="begin"/>
      </w:r>
      <w:r>
        <w:instrText xml:space="preserve"> HYPERLINK \l "_Toc33798933" </w:instrText>
      </w:r>
      <w:r>
        <w:fldChar w:fldCharType="separate"/>
      </w:r>
      <w:r>
        <w:rPr>
          <w:rStyle w:val="38"/>
          <w:rFonts w:hint="eastAsia" w:ascii="楷体_GB2312"/>
          <w:color w:val="auto"/>
          <w:u w:val="none"/>
          <w:lang w:eastAsia="zh-CN"/>
        </w:rPr>
        <w:t>（一）申请事项审查要点</w:t>
      </w:r>
      <w:r>
        <w:rPr>
          <w:rFonts w:eastAsia="方正小标宋简体"/>
          <w:lang w:eastAsia="zh-CN"/>
        </w:rPr>
        <w:tab/>
      </w:r>
      <w:r>
        <w:rPr>
          <w:rStyle w:val="38"/>
          <w:rFonts w:eastAsia="方正小标宋简体"/>
          <w:color w:val="auto"/>
          <w:u w:val="none"/>
        </w:rPr>
        <w:t>2</w:t>
      </w:r>
      <w:r>
        <w:rPr>
          <w:rStyle w:val="38"/>
          <w:rFonts w:eastAsia="方正小标宋简体"/>
          <w:color w:val="auto"/>
          <w:u w:val="none"/>
        </w:rPr>
        <w:fldChar w:fldCharType="end"/>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fldChar w:fldCharType="begin"/>
      </w:r>
      <w:r>
        <w:instrText xml:space="preserve"> HYPERLINK \l "_Toc33798934" </w:instrText>
      </w:r>
      <w:r>
        <w:fldChar w:fldCharType="separate"/>
      </w:r>
      <w:r>
        <w:rPr>
          <w:rStyle w:val="38"/>
          <w:rFonts w:hint="eastAsia" w:ascii="楷体_GB2312"/>
          <w:color w:val="auto"/>
          <w:u w:val="none"/>
          <w:lang w:eastAsia="zh-CN"/>
        </w:rPr>
        <w:t>（二）沟通交流审查要点</w:t>
      </w:r>
      <w:r>
        <w:rPr>
          <w:rStyle w:val="38"/>
          <w:rFonts w:hint="eastAsia" w:ascii="楷体_GB2312"/>
          <w:color w:val="auto"/>
          <w:u w:val="none"/>
          <w:lang w:eastAsia="zh-CN"/>
        </w:rPr>
        <w:tab/>
      </w:r>
      <w:r>
        <w:rPr>
          <w:rStyle w:val="38"/>
          <w:rFonts w:hint="eastAsia" w:ascii="楷体_GB2312"/>
          <w:color w:val="auto"/>
          <w:u w:val="none"/>
          <w:lang w:eastAsia="zh-CN"/>
        </w:rPr>
        <w:fldChar w:fldCharType="end"/>
      </w:r>
      <w:r>
        <w:rPr>
          <w:rFonts w:hint="eastAsia" w:eastAsia="方正小标宋简体"/>
        </w:rPr>
        <w:t>2</w:t>
      </w:r>
    </w:p>
    <w:p>
      <w:pPr>
        <w:widowControl w:val="0"/>
        <w:tabs>
          <w:tab w:val="right" w:leader="dot" w:pos="8296"/>
        </w:tabs>
        <w:adjustRightInd w:val="0"/>
        <w:snapToGrid w:val="0"/>
        <w:spacing w:line="560" w:lineRule="exact"/>
        <w:ind w:firstLine="640"/>
        <w:jc w:val="center"/>
        <w:rPr>
          <w:rStyle w:val="38"/>
          <w:rFonts w:hint="eastAsia" w:ascii="楷体_GB2312"/>
          <w:color w:val="auto"/>
          <w:u w:val="none"/>
          <w:lang w:eastAsia="zh-CN"/>
        </w:rPr>
      </w:pPr>
      <w:r>
        <w:fldChar w:fldCharType="begin"/>
      </w:r>
      <w:r>
        <w:instrText xml:space="preserve"> HYPERLINK \l "_Toc33798935" </w:instrText>
      </w:r>
      <w:r>
        <w:fldChar w:fldCharType="separate"/>
      </w:r>
      <w:r>
        <w:rPr>
          <w:rStyle w:val="38"/>
          <w:rFonts w:hint="eastAsia" w:ascii="楷体_GB2312"/>
          <w:color w:val="auto"/>
          <w:u w:val="none"/>
          <w:lang w:eastAsia="zh-CN"/>
        </w:rPr>
        <w:t>（三）申请表审查要点</w:t>
      </w:r>
      <w:r>
        <w:rPr>
          <w:rStyle w:val="38"/>
          <w:rFonts w:hint="eastAsia" w:ascii="楷体_GB2312"/>
          <w:color w:val="auto"/>
          <w:u w:val="none"/>
          <w:lang w:eastAsia="zh-CN"/>
        </w:rPr>
        <w:tab/>
      </w:r>
      <w:r>
        <w:rPr>
          <w:rFonts w:hint="eastAsia" w:eastAsia="方正小标宋简体"/>
          <w:lang w:eastAsia="zh-CN"/>
        </w:rPr>
        <w:t>3</w:t>
      </w:r>
      <w:r>
        <w:rPr>
          <w:rFonts w:hint="eastAsia" w:eastAsia="方正小标宋简体"/>
          <w:lang w:eastAsia="zh-CN"/>
        </w:rPr>
        <w:fldChar w:fldCharType="end"/>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fldChar w:fldCharType="begin"/>
      </w:r>
      <w:r>
        <w:instrText xml:space="preserve"> HYPERLINK \l "_Toc33798937" </w:instrText>
      </w:r>
      <w:r>
        <w:fldChar w:fldCharType="separate"/>
      </w:r>
      <w:r>
        <w:rPr>
          <w:rStyle w:val="38"/>
          <w:rFonts w:hint="eastAsia" w:ascii="楷体_GB2312"/>
          <w:color w:val="auto"/>
          <w:u w:val="none"/>
          <w:lang w:eastAsia="zh-CN"/>
        </w:rPr>
        <w:t>（四）申报资料审查要点</w:t>
      </w:r>
      <w:r>
        <w:rPr>
          <w:rStyle w:val="38"/>
          <w:rFonts w:hint="eastAsia" w:ascii="楷体_GB2312"/>
          <w:color w:val="auto"/>
          <w:u w:val="none"/>
          <w:lang w:eastAsia="zh-CN"/>
        </w:rPr>
        <w:tab/>
      </w:r>
      <w:r>
        <w:rPr>
          <w:rFonts w:hint="eastAsia" w:eastAsia="方正小标宋简体"/>
        </w:rPr>
        <w:t>5</w:t>
      </w:r>
      <w:r>
        <w:rPr>
          <w:rFonts w:hint="eastAsia" w:eastAsia="方正小标宋简体"/>
        </w:rPr>
        <w:fldChar w:fldCharType="end"/>
      </w:r>
    </w:p>
    <w:p>
      <w:pPr>
        <w:widowControl w:val="0"/>
        <w:tabs>
          <w:tab w:val="right" w:leader="dot" w:pos="8296"/>
        </w:tabs>
        <w:adjustRightInd w:val="0"/>
        <w:snapToGrid w:val="0"/>
        <w:spacing w:line="560" w:lineRule="exact"/>
        <w:ind w:firstLine="640"/>
        <w:jc w:val="center"/>
        <w:rPr>
          <w:rFonts w:eastAsia="方正小标宋简体"/>
          <w:lang w:eastAsia="zh-CN"/>
        </w:rPr>
      </w:pPr>
      <w:r>
        <w:rPr>
          <w:rStyle w:val="38"/>
          <w:rFonts w:hint="eastAsia" w:ascii="楷体_GB2312"/>
          <w:color w:val="auto"/>
          <w:u w:val="none"/>
          <w:lang w:eastAsia="zh-CN"/>
        </w:rPr>
        <w:t>（五）其他提示</w:t>
      </w:r>
      <w:r>
        <w:rPr>
          <w:rStyle w:val="38"/>
          <w:rFonts w:hint="eastAsia" w:ascii="楷体_GB2312"/>
          <w:color w:val="auto"/>
          <w:u w:val="none"/>
          <w:lang w:eastAsia="zh-CN"/>
        </w:rPr>
        <w:tab/>
      </w:r>
      <w:r>
        <w:rPr>
          <w:rFonts w:hint="eastAsia" w:eastAsia="方正小标宋简体"/>
        </w:rPr>
        <w:t>1</w:t>
      </w:r>
      <w:r>
        <w:rPr>
          <w:rFonts w:eastAsia="方正小标宋简体"/>
        </w:rPr>
        <w:t>0</w:t>
      </w:r>
    </w:p>
    <w:p>
      <w:pPr>
        <w:widowControl w:val="0"/>
        <w:tabs>
          <w:tab w:val="right" w:leader="dot" w:pos="8296"/>
        </w:tabs>
        <w:adjustRightInd w:val="0"/>
        <w:snapToGrid w:val="0"/>
        <w:spacing w:line="560" w:lineRule="exact"/>
        <w:ind w:firstLine="0" w:firstLineChars="0"/>
        <w:jc w:val="center"/>
        <w:rPr>
          <w:rStyle w:val="38"/>
          <w:rFonts w:eastAsia="方正小标宋简体"/>
          <w:u w:val="none"/>
        </w:rPr>
      </w:pPr>
      <w:r>
        <w:fldChar w:fldCharType="begin"/>
      </w:r>
      <w:r>
        <w:instrText xml:space="preserve"> HYPERLINK \l "_Toc33798938" </w:instrText>
      </w:r>
      <w:r>
        <w:fldChar w:fldCharType="separate"/>
      </w:r>
      <w:r>
        <w:rPr>
          <w:rStyle w:val="38"/>
          <w:rFonts w:eastAsia="方正小标宋简体"/>
          <w:u w:val="none"/>
        </w:rPr>
        <w:t>五、受理审查决定</w:t>
      </w:r>
      <w:r>
        <w:rPr>
          <w:rStyle w:val="38"/>
          <w:rFonts w:eastAsia="方正小标宋简体"/>
          <w:u w:val="none"/>
        </w:rPr>
        <w:tab/>
      </w:r>
      <w:r>
        <w:rPr>
          <w:rStyle w:val="38"/>
          <w:rFonts w:eastAsia="方正小标宋简体"/>
          <w:u w:val="none"/>
        </w:rPr>
        <w:t>11</w:t>
      </w:r>
      <w:r>
        <w:rPr>
          <w:rStyle w:val="38"/>
          <w:rFonts w:eastAsia="方正小标宋简体"/>
          <w:u w:val="none"/>
        </w:rPr>
        <w:fldChar w:fldCharType="end"/>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fldChar w:fldCharType="begin"/>
      </w:r>
      <w:r>
        <w:instrText xml:space="preserve"> HYPERLINK \l "_Toc33798939" </w:instrText>
      </w:r>
      <w:r>
        <w:fldChar w:fldCharType="separate"/>
      </w:r>
      <w:r>
        <w:rPr>
          <w:rStyle w:val="38"/>
          <w:rFonts w:hint="eastAsia" w:ascii="楷体_GB2312"/>
          <w:color w:val="auto"/>
          <w:u w:val="none"/>
          <w:lang w:eastAsia="zh-CN"/>
        </w:rPr>
        <w:t>（一）受理</w:t>
      </w:r>
      <w:r>
        <w:rPr>
          <w:rStyle w:val="38"/>
          <w:rFonts w:hint="eastAsia" w:ascii="楷体_GB2312"/>
          <w:color w:val="auto"/>
          <w:u w:val="none"/>
          <w:lang w:eastAsia="zh-CN"/>
        </w:rPr>
        <w:tab/>
      </w:r>
      <w:r>
        <w:rPr>
          <w:rStyle w:val="38"/>
          <w:rFonts w:hint="eastAsia" w:eastAsia="方正小标宋简体"/>
          <w:u w:val="none"/>
        </w:rPr>
        <w:t>11</w:t>
      </w:r>
      <w:r>
        <w:rPr>
          <w:rStyle w:val="38"/>
          <w:rFonts w:hint="eastAsia" w:eastAsia="方正小标宋简体"/>
          <w:u w:val="none"/>
        </w:rPr>
        <w:fldChar w:fldCharType="end"/>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fldChar w:fldCharType="begin"/>
      </w:r>
      <w:r>
        <w:instrText xml:space="preserve"> HYPERLINK \l "_Toc33798940" </w:instrText>
      </w:r>
      <w:r>
        <w:fldChar w:fldCharType="separate"/>
      </w:r>
      <w:r>
        <w:rPr>
          <w:rStyle w:val="38"/>
          <w:rFonts w:hint="eastAsia" w:ascii="楷体_GB2312"/>
          <w:color w:val="auto"/>
          <w:u w:val="none"/>
          <w:lang w:eastAsia="zh-CN"/>
        </w:rPr>
        <w:t>（二）补正</w:t>
      </w:r>
      <w:r>
        <w:rPr>
          <w:rStyle w:val="38"/>
          <w:rFonts w:hint="eastAsia" w:ascii="楷体_GB2312"/>
          <w:color w:val="auto"/>
          <w:u w:val="none"/>
          <w:lang w:eastAsia="zh-CN"/>
        </w:rPr>
        <w:tab/>
      </w:r>
      <w:r>
        <w:rPr>
          <w:rStyle w:val="38"/>
          <w:rFonts w:eastAsia="方正小标宋简体"/>
          <w:u w:val="none"/>
        </w:rPr>
        <w:t>11</w:t>
      </w:r>
      <w:r>
        <w:rPr>
          <w:rStyle w:val="38"/>
          <w:rFonts w:eastAsia="方正小标宋简体"/>
          <w:u w:val="none"/>
        </w:rPr>
        <w:fldChar w:fldCharType="end"/>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rPr>
          <w:rStyle w:val="38"/>
          <w:rFonts w:hint="eastAsia" w:ascii="楷体_GB2312"/>
          <w:color w:val="auto"/>
          <w:u w:val="none"/>
          <w:lang w:eastAsia="zh-CN"/>
        </w:rPr>
        <w:t>（三）不予受理</w:t>
      </w:r>
      <w:r>
        <w:rPr>
          <w:rStyle w:val="38"/>
          <w:rFonts w:hint="eastAsia" w:ascii="楷体_GB2312"/>
          <w:color w:val="auto"/>
          <w:u w:val="none"/>
          <w:lang w:eastAsia="zh-CN"/>
        </w:rPr>
        <w:tab/>
      </w:r>
      <w:r>
        <w:rPr>
          <w:rStyle w:val="38"/>
          <w:rFonts w:eastAsia="方正小标宋简体"/>
          <w:u w:val="none"/>
        </w:rPr>
        <w:t>12</w:t>
      </w:r>
    </w:p>
    <w:p>
      <w:pPr>
        <w:widowControl w:val="0"/>
        <w:tabs>
          <w:tab w:val="right" w:leader="dot" w:pos="8296"/>
        </w:tabs>
        <w:adjustRightInd w:val="0"/>
        <w:snapToGrid w:val="0"/>
        <w:spacing w:line="560" w:lineRule="exact"/>
        <w:ind w:firstLine="640"/>
        <w:jc w:val="center"/>
        <w:rPr>
          <w:rFonts w:eastAsia="方正小标宋简体"/>
          <w:lang w:eastAsia="zh-CN"/>
        </w:rPr>
      </w:pPr>
      <w:r>
        <w:fldChar w:fldCharType="begin"/>
      </w:r>
      <w:r>
        <w:instrText xml:space="preserve"> HYPERLINK \l "_Toc33798941" </w:instrText>
      </w:r>
      <w:r>
        <w:fldChar w:fldCharType="separate"/>
      </w:r>
      <w:r>
        <w:rPr>
          <w:rStyle w:val="38"/>
          <w:rFonts w:hint="eastAsia" w:ascii="楷体_GB2312"/>
          <w:color w:val="auto"/>
          <w:u w:val="none"/>
          <w:lang w:eastAsia="zh-CN"/>
        </w:rPr>
        <w:t>（四）受理流程图</w:t>
      </w:r>
      <w:r>
        <w:rPr>
          <w:rStyle w:val="38"/>
          <w:rFonts w:hint="eastAsia" w:ascii="楷体_GB2312"/>
          <w:color w:val="auto"/>
          <w:u w:val="none"/>
          <w:lang w:eastAsia="zh-CN"/>
        </w:rPr>
        <w:tab/>
      </w:r>
      <w:r>
        <w:rPr>
          <w:rStyle w:val="38"/>
          <w:rFonts w:eastAsia="方正小标宋简体"/>
          <w:u w:val="none"/>
        </w:rPr>
        <w:t>12</w:t>
      </w:r>
      <w:r>
        <w:rPr>
          <w:rStyle w:val="38"/>
          <w:rFonts w:eastAsia="方正小标宋简体"/>
          <w:u w:val="none"/>
        </w:rPr>
        <w:fldChar w:fldCharType="end"/>
      </w:r>
    </w:p>
    <w:p>
      <w:pPr>
        <w:widowControl w:val="0"/>
        <w:tabs>
          <w:tab w:val="right" w:leader="dot" w:pos="8296"/>
        </w:tabs>
        <w:adjustRightInd w:val="0"/>
        <w:snapToGrid w:val="0"/>
        <w:spacing w:line="560" w:lineRule="exact"/>
        <w:ind w:firstLine="0" w:firstLineChars="0"/>
        <w:jc w:val="center"/>
        <w:rPr>
          <w:rStyle w:val="38"/>
          <w:rFonts w:eastAsia="方正小标宋简体"/>
          <w:u w:val="none"/>
        </w:rPr>
      </w:pPr>
      <w:r>
        <w:fldChar w:fldCharType="begin"/>
      </w:r>
      <w:r>
        <w:instrText xml:space="preserve"> HYPERLINK \l "_Toc33798942" </w:instrText>
      </w:r>
      <w:r>
        <w:fldChar w:fldCharType="separate"/>
      </w:r>
      <w:r>
        <w:rPr>
          <w:rStyle w:val="38"/>
          <w:rFonts w:eastAsia="方正小标宋简体"/>
          <w:u w:val="none"/>
        </w:rPr>
        <w:t>六、其他</w:t>
      </w:r>
      <w:r>
        <w:rPr>
          <w:rStyle w:val="38"/>
          <w:rFonts w:eastAsia="方正小标宋简体"/>
          <w:u w:val="none"/>
        </w:rPr>
        <w:tab/>
      </w:r>
      <w:r>
        <w:rPr>
          <w:rStyle w:val="38"/>
          <w:rFonts w:eastAsia="方正小标宋简体"/>
          <w:u w:val="none"/>
        </w:rPr>
        <w:t>13</w:t>
      </w:r>
      <w:r>
        <w:rPr>
          <w:rStyle w:val="38"/>
          <w:rFonts w:eastAsia="方正小标宋简体"/>
          <w:u w:val="none"/>
        </w:rPr>
        <w:fldChar w:fldCharType="end"/>
      </w:r>
    </w:p>
    <w:p>
      <w:pPr>
        <w:widowControl w:val="0"/>
        <w:tabs>
          <w:tab w:val="right" w:leader="dot" w:pos="8296"/>
        </w:tabs>
        <w:adjustRightInd w:val="0"/>
        <w:snapToGrid w:val="0"/>
        <w:spacing w:line="560" w:lineRule="exact"/>
        <w:ind w:firstLine="0" w:firstLineChars="0"/>
        <w:jc w:val="center"/>
        <w:rPr>
          <w:rStyle w:val="38"/>
          <w:rFonts w:eastAsia="方正小标宋简体"/>
          <w:u w:val="none"/>
          <w:lang w:eastAsia="zh-CN"/>
        </w:rPr>
      </w:pPr>
      <w:r>
        <w:fldChar w:fldCharType="begin"/>
      </w:r>
      <w:r>
        <w:instrText xml:space="preserve"> HYPERLINK \l "_Toc33798943" </w:instrText>
      </w:r>
      <w:r>
        <w:fldChar w:fldCharType="separate"/>
      </w:r>
      <w:r>
        <w:rPr>
          <w:rStyle w:val="38"/>
          <w:rFonts w:eastAsia="方正小标宋简体"/>
          <w:u w:val="none"/>
          <w:lang w:eastAsia="zh-CN"/>
        </w:rPr>
        <w:t>七、</w:t>
      </w:r>
      <w:r>
        <w:rPr>
          <w:rStyle w:val="38"/>
          <w:rFonts w:hint="eastAsia" w:eastAsia="方正小标宋简体"/>
          <w:u w:val="none"/>
          <w:lang w:eastAsia="zh-CN"/>
        </w:rPr>
        <w:t>附件</w:t>
      </w:r>
      <w:r>
        <w:rPr>
          <w:rStyle w:val="38"/>
          <w:rFonts w:hint="eastAsia" w:eastAsia="方正小标宋简体"/>
          <w:u w:val="none"/>
          <w:lang w:eastAsia="zh-CN"/>
        </w:rPr>
        <w:fldChar w:fldCharType="end"/>
      </w:r>
      <w:r>
        <w:rPr>
          <w:rStyle w:val="38"/>
          <w:rFonts w:eastAsia="方正小标宋简体"/>
          <w:u w:val="none"/>
          <w:lang w:eastAsia="zh-CN"/>
        </w:rPr>
        <w:tab/>
      </w:r>
      <w:r>
        <w:rPr>
          <w:rStyle w:val="38"/>
          <w:rFonts w:eastAsia="方正小标宋简体"/>
          <w:u w:val="none"/>
          <w:lang w:eastAsia="zh-CN"/>
        </w:rPr>
        <w:t>13</w:t>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rPr>
          <w:rStyle w:val="38"/>
          <w:rFonts w:hint="eastAsia" w:ascii="楷体_GB2312"/>
          <w:color w:val="auto"/>
          <w:u w:val="none"/>
          <w:lang w:eastAsia="zh-CN"/>
        </w:rPr>
        <w:t>1．</w:t>
      </w:r>
      <w:r>
        <w:fldChar w:fldCharType="begin"/>
      </w:r>
      <w:r>
        <w:instrText xml:space="preserve"> HYPERLINK \l "_Toc33798944" </w:instrText>
      </w:r>
      <w:r>
        <w:fldChar w:fldCharType="separate"/>
      </w:r>
      <w:r>
        <w:rPr>
          <w:rStyle w:val="38"/>
          <w:rFonts w:hint="eastAsia" w:ascii="楷体_GB2312"/>
          <w:color w:val="auto"/>
          <w:u w:val="none"/>
          <w:lang w:eastAsia="zh-CN"/>
        </w:rPr>
        <w:t>预防用生物制品注册申报资料自查表</w:t>
      </w:r>
      <w:r>
        <w:rPr>
          <w:rStyle w:val="38"/>
          <w:rFonts w:hint="eastAsia" w:ascii="楷体_GB2312"/>
          <w:color w:val="auto"/>
          <w:u w:val="none"/>
          <w:lang w:eastAsia="zh-CN"/>
        </w:rPr>
        <w:tab/>
      </w:r>
      <w:r>
        <w:rPr>
          <w:rStyle w:val="38"/>
          <w:rFonts w:hint="eastAsia" w:eastAsia="方正小标宋简体"/>
          <w:u w:val="none"/>
          <w:lang w:eastAsia="zh-CN"/>
        </w:rPr>
        <w:t>14</w:t>
      </w:r>
      <w:r>
        <w:rPr>
          <w:rStyle w:val="38"/>
          <w:rFonts w:hint="eastAsia" w:eastAsia="方正小标宋简体"/>
          <w:u w:val="none"/>
          <w:lang w:eastAsia="zh-CN"/>
        </w:rPr>
        <w:fldChar w:fldCharType="end"/>
      </w:r>
    </w:p>
    <w:p>
      <w:pPr>
        <w:widowControl w:val="0"/>
        <w:tabs>
          <w:tab w:val="right" w:leader="dot" w:pos="8296"/>
        </w:tabs>
        <w:adjustRightInd w:val="0"/>
        <w:snapToGrid w:val="0"/>
        <w:spacing w:line="560" w:lineRule="exact"/>
        <w:ind w:firstLine="640"/>
        <w:jc w:val="center"/>
        <w:rPr>
          <w:rStyle w:val="38"/>
          <w:rFonts w:ascii="楷体_GB2312"/>
          <w:color w:val="auto"/>
          <w:u w:val="none"/>
          <w:lang w:eastAsia="zh-CN"/>
        </w:rPr>
      </w:pPr>
      <w:r>
        <w:rPr>
          <w:rStyle w:val="38"/>
          <w:rFonts w:hint="eastAsia" w:ascii="楷体_GB2312"/>
          <w:color w:val="auto"/>
          <w:u w:val="none"/>
          <w:lang w:eastAsia="zh-CN"/>
        </w:rPr>
        <w:t>2．参考目录</w:t>
      </w:r>
      <w:r>
        <w:rPr>
          <w:rStyle w:val="38"/>
          <w:rFonts w:hint="eastAsia" w:ascii="楷体_GB2312"/>
          <w:color w:val="auto"/>
          <w:u w:val="none"/>
          <w:lang w:eastAsia="zh-CN"/>
        </w:rPr>
        <w:tab/>
      </w:r>
      <w:r>
        <w:rPr>
          <w:rStyle w:val="38"/>
          <w:rFonts w:hint="eastAsia" w:eastAsia="方正小标宋简体"/>
          <w:u w:val="none"/>
          <w:lang w:eastAsia="zh-CN"/>
        </w:rPr>
        <w:t>25</w:t>
      </w:r>
    </w:p>
    <w:p>
      <w:pPr>
        <w:widowControl w:val="0"/>
        <w:tabs>
          <w:tab w:val="right" w:leader="dot" w:pos="8296"/>
        </w:tabs>
        <w:spacing w:line="580" w:lineRule="exact"/>
        <w:ind w:firstLine="983" w:firstLineChars="306"/>
        <w:rPr>
          <w:b/>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b/>
          <w:lang w:eastAsia="zh-CN"/>
        </w:rPr>
        <w:fldChar w:fldCharType="end"/>
      </w:r>
    </w:p>
    <w:p>
      <w:pPr>
        <w:pStyle w:val="27"/>
        <w:widowControl w:val="0"/>
        <w:tabs>
          <w:tab w:val="right" w:leader="dot" w:pos="8296"/>
          <w:tab w:val="right" w:leader="dot" w:pos="13440"/>
        </w:tabs>
        <w:overflowPunct w:val="0"/>
        <w:spacing w:line="580" w:lineRule="exact"/>
        <w:ind w:left="0" w:leftChars="0" w:firstLine="0" w:firstLineChars="0"/>
        <w:rPr>
          <w:sz w:val="32"/>
          <w:szCs w:val="32"/>
        </w:rPr>
      </w:pPr>
    </w:p>
    <w:p>
      <w:pPr>
        <w:keepNext w:val="0"/>
        <w:keepLines w:val="0"/>
        <w:pageBreakBefore w:val="0"/>
        <w:widowControl w:val="0"/>
        <w:kinsoku/>
        <w:wordWrap/>
        <w:topLinePunct w:val="0"/>
        <w:autoSpaceDE/>
        <w:autoSpaceDN/>
        <w:bidi w:val="0"/>
        <w:snapToGrid w:val="0"/>
        <w:spacing w:line="540" w:lineRule="exact"/>
        <w:ind w:firstLine="0" w:firstLineChars="0"/>
        <w:jc w:val="center"/>
        <w:textAlignment w:val="auto"/>
        <w:rPr>
          <w:rFonts w:ascii="方正小标宋简体" w:hAnsi="黑体" w:eastAsia="方正小标宋简体"/>
          <w:color w:val="auto"/>
          <w:sz w:val="44"/>
          <w:szCs w:val="44"/>
          <w:lang w:eastAsia="zh-CN"/>
        </w:rPr>
      </w:pPr>
      <w:r>
        <w:rPr>
          <w:rFonts w:hint="eastAsia" w:ascii="方正小标宋简体" w:hAnsi="黑体" w:eastAsia="方正小标宋简体"/>
          <w:color w:val="auto"/>
          <w:sz w:val="44"/>
          <w:szCs w:val="44"/>
          <w:lang w:eastAsia="zh-CN"/>
        </w:rPr>
        <w:t>生物制品注册受理审查指南（征求意见稿）</w:t>
      </w:r>
    </w:p>
    <w:p>
      <w:pPr>
        <w:keepNext w:val="0"/>
        <w:keepLines w:val="0"/>
        <w:pageBreakBefore w:val="0"/>
        <w:widowControl w:val="0"/>
        <w:kinsoku/>
        <w:wordWrap/>
        <w:topLinePunct w:val="0"/>
        <w:autoSpaceDE/>
        <w:autoSpaceDN/>
        <w:bidi w:val="0"/>
        <w:snapToGrid w:val="0"/>
        <w:spacing w:line="540" w:lineRule="exact"/>
        <w:ind w:firstLine="0" w:firstLineChars="0"/>
        <w:jc w:val="center"/>
        <w:textAlignment w:val="auto"/>
        <w:rPr>
          <w:rFonts w:ascii="方正小标宋简体" w:hAnsi="黑体" w:eastAsia="方正小标宋简体"/>
          <w:color w:val="auto"/>
          <w:sz w:val="44"/>
          <w:szCs w:val="44"/>
          <w:lang w:eastAsia="zh-CN"/>
        </w:rPr>
      </w:pPr>
      <w:r>
        <w:rPr>
          <w:rFonts w:hint="eastAsia" w:ascii="方正小标宋简体" w:hAnsi="黑体" w:eastAsia="方正小标宋简体"/>
          <w:color w:val="auto"/>
          <w:sz w:val="44"/>
          <w:szCs w:val="44"/>
          <w:lang w:eastAsia="zh-CN"/>
        </w:rPr>
        <w:t>第一部分 预防用生物制品</w:t>
      </w:r>
    </w:p>
    <w:p>
      <w:pPr>
        <w:keepNext w:val="0"/>
        <w:keepLines w:val="0"/>
        <w:pageBreakBefore w:val="0"/>
        <w:widowControl w:val="0"/>
        <w:kinsoku/>
        <w:wordWrap/>
        <w:topLinePunct w:val="0"/>
        <w:autoSpaceDE/>
        <w:autoSpaceDN/>
        <w:bidi w:val="0"/>
        <w:snapToGrid w:val="0"/>
        <w:spacing w:line="540" w:lineRule="exact"/>
        <w:ind w:firstLine="0" w:firstLineChars="0"/>
        <w:jc w:val="center"/>
        <w:textAlignment w:val="auto"/>
        <w:rPr>
          <w:rFonts w:ascii="方正小标宋简体" w:hAnsi="黑体" w:eastAsia="方正小标宋简体"/>
          <w:sz w:val="44"/>
          <w:szCs w:val="44"/>
          <w:lang w:eastAsia="zh-CN"/>
        </w:rPr>
      </w:pPr>
    </w:p>
    <w:p>
      <w:pPr>
        <w:keepNext w:val="0"/>
        <w:keepLines w:val="0"/>
        <w:pageBreakBefore w:val="0"/>
        <w:widowControl w:val="0"/>
        <w:kinsoku/>
        <w:wordWrap/>
        <w:topLinePunct w:val="0"/>
        <w:autoSpaceDE/>
        <w:autoSpaceDN/>
        <w:bidi w:val="0"/>
        <w:adjustRightInd w:val="0"/>
        <w:snapToGrid w:val="0"/>
        <w:spacing w:line="540" w:lineRule="exact"/>
        <w:ind w:firstLine="640"/>
        <w:textAlignment w:val="auto"/>
        <w:outlineLvl w:val="2"/>
        <w:rPr>
          <w:rFonts w:eastAsia="黑体"/>
          <w:lang w:eastAsia="zh-CN"/>
        </w:rPr>
      </w:pPr>
      <w:bookmarkStart w:id="0" w:name="_Toc499307968"/>
      <w:bookmarkStart w:id="1" w:name="_Toc498447799"/>
      <w:bookmarkStart w:id="2" w:name="_Toc498447813"/>
      <w:r>
        <w:rPr>
          <w:rFonts w:hint="eastAsia" w:eastAsia="黑体"/>
          <w:lang w:eastAsia="zh-CN"/>
        </w:rPr>
        <w:t>一、适用范围</w:t>
      </w:r>
      <w:bookmarkEnd w:id="0"/>
      <w:bookmarkEnd w:id="1"/>
      <w:bookmarkEnd w:id="2"/>
    </w:p>
    <w:p>
      <w:pPr>
        <w:keepNext w:val="0"/>
        <w:keepLines w:val="0"/>
        <w:pageBreakBefore w:val="0"/>
        <w:widowControl w:val="0"/>
        <w:kinsoku/>
        <w:wordWrap/>
        <w:overflowPunct w:val="0"/>
        <w:topLinePunct w:val="0"/>
        <w:autoSpaceDE/>
        <w:autoSpaceDN/>
        <w:bidi w:val="0"/>
        <w:spacing w:line="540" w:lineRule="exact"/>
        <w:ind w:firstLine="640"/>
        <w:textAlignment w:val="auto"/>
        <w:rPr>
          <w:color w:val="auto"/>
          <w:lang w:eastAsia="zh-CN"/>
        </w:rPr>
      </w:pPr>
      <w:r>
        <w:rPr>
          <w:rFonts w:hint="eastAsia"/>
          <w:color w:val="auto"/>
          <w:lang w:eastAsia="zh-CN"/>
        </w:rPr>
        <w:t>预防用</w:t>
      </w:r>
      <w:r>
        <w:rPr>
          <w:color w:val="auto"/>
          <w:lang w:eastAsia="zh-CN"/>
        </w:rPr>
        <w:t>生物制品</w:t>
      </w:r>
      <w:r>
        <w:rPr>
          <w:rFonts w:hint="eastAsia"/>
          <w:color w:val="auto"/>
          <w:lang w:eastAsia="zh-CN"/>
        </w:rPr>
        <w:t>临床试验申请</w:t>
      </w:r>
      <w:r>
        <w:rPr>
          <w:color w:val="auto"/>
          <w:lang w:eastAsia="zh-CN"/>
        </w:rPr>
        <w:t>/</w:t>
      </w:r>
      <w:r>
        <w:rPr>
          <w:rFonts w:hint="eastAsia"/>
          <w:color w:val="auto"/>
          <w:lang w:eastAsia="zh-CN"/>
        </w:rPr>
        <w:t>上市许可申请。疫苗，是指为预防、控制疾病的发生、流行，用于人体免疫接种的预防性生物制品。本处所指预防用生物制品，统称为疫苗。</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rFonts w:ascii="黑体" w:eastAsia="黑体"/>
          <w:lang w:eastAsia="zh-CN"/>
        </w:rPr>
      </w:pPr>
      <w:bookmarkStart w:id="3" w:name="_Toc33798928"/>
      <w:r>
        <w:rPr>
          <w:rFonts w:hint="eastAsia" w:ascii="黑体" w:hAnsi="黑体" w:eastAsia="黑体"/>
          <w:lang w:eastAsia="zh-CN"/>
        </w:rPr>
        <w:t>二、受理部门</w:t>
      </w:r>
      <w:bookmarkEnd w:id="3"/>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rFonts w:hint="eastAsia"/>
          <w:lang w:eastAsia="zh-CN"/>
        </w:rPr>
        <w:t>由国家药品监督管理局药品审评中心受理。</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rFonts w:ascii="黑体" w:hAnsi="黑体" w:eastAsia="黑体"/>
          <w:lang w:eastAsia="zh-CN"/>
        </w:rPr>
      </w:pPr>
      <w:bookmarkStart w:id="4" w:name="_Toc33798929"/>
      <w:r>
        <w:rPr>
          <w:rFonts w:hint="eastAsia" w:ascii="黑体" w:hAnsi="黑体" w:eastAsia="黑体"/>
          <w:lang w:eastAsia="zh-CN"/>
        </w:rPr>
        <w:t>三、资料基本要求</w:t>
      </w:r>
      <w:bookmarkEnd w:id="4"/>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lang w:eastAsia="zh-CN"/>
        </w:rPr>
      </w:pPr>
      <w:r>
        <w:rPr>
          <w:rFonts w:hint="eastAsia"/>
          <w:lang w:eastAsia="zh-CN"/>
        </w:rPr>
        <w:t>按照《药品注册管理办法》及</w:t>
      </w:r>
      <w:r>
        <w:rPr>
          <w:rFonts w:hint="eastAsia"/>
          <w:color w:val="auto"/>
          <w:lang w:eastAsia="zh-CN"/>
        </w:rPr>
        <w:t>《生物</w:t>
      </w:r>
      <w:r>
        <w:rPr>
          <w:color w:val="auto"/>
          <w:lang w:eastAsia="zh-CN"/>
        </w:rPr>
        <w:t>制品</w:t>
      </w:r>
      <w:r>
        <w:rPr>
          <w:rFonts w:hint="eastAsia"/>
          <w:color w:val="auto"/>
          <w:lang w:eastAsia="zh-CN"/>
        </w:rPr>
        <w:t>注册</w:t>
      </w:r>
      <w:r>
        <w:rPr>
          <w:color w:val="auto"/>
          <w:lang w:eastAsia="zh-CN"/>
        </w:rPr>
        <w:t>分类</w:t>
      </w:r>
      <w:r>
        <w:rPr>
          <w:rFonts w:hint="eastAsia"/>
          <w:color w:val="auto"/>
          <w:lang w:eastAsia="zh-CN"/>
        </w:rPr>
        <w:t>及</w:t>
      </w:r>
      <w:r>
        <w:rPr>
          <w:color w:val="auto"/>
          <w:lang w:eastAsia="zh-CN"/>
        </w:rPr>
        <w:t>申报资料要求</w:t>
      </w:r>
      <w:r>
        <w:rPr>
          <w:rFonts w:hint="eastAsia"/>
          <w:color w:val="auto"/>
          <w:lang w:eastAsia="zh-CN"/>
        </w:rPr>
        <w:t>》的规定</w:t>
      </w:r>
      <w:r>
        <w:rPr>
          <w:rFonts w:hint="eastAsia"/>
          <w:lang w:eastAsia="zh-CN"/>
        </w:rPr>
        <w:t>，提供符合要求的申报资料。申报资料应根据</w:t>
      </w:r>
      <w:r>
        <w:rPr>
          <w:rFonts w:hint="eastAsia"/>
          <w:color w:val="auto"/>
          <w:lang w:eastAsia="zh-CN"/>
        </w:rPr>
        <w:t>《M4：人用药物注册申请通用技术文档（CTD）》（以下简称CTD）</w:t>
      </w:r>
      <w:r>
        <w:rPr>
          <w:rFonts w:hint="eastAsia"/>
          <w:lang w:eastAsia="zh-CN"/>
        </w:rPr>
        <w:t>整理，目录及项目编号不能改变，对应项目无相关信息或研究资料，项目编号和名称也应保留，可在项下注明“不适用”并说明理由。</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楷体_GB2312" w:eastAsia="楷体_GB2312"/>
          <w:lang w:eastAsia="zh-CN"/>
        </w:rPr>
      </w:pPr>
      <w:bookmarkStart w:id="5" w:name="_Toc33798930"/>
      <w:r>
        <w:rPr>
          <w:rFonts w:hint="eastAsia" w:ascii="楷体_GB2312" w:eastAsia="楷体_GB2312"/>
          <w:lang w:eastAsia="zh-CN"/>
        </w:rPr>
        <w:t>（一）申请表的整理</w:t>
      </w:r>
      <w:bookmarkEnd w:id="5"/>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rFonts w:hint="eastAsia"/>
          <w:lang w:eastAsia="zh-CN"/>
        </w:rPr>
        <w:t>疫苗注册申请表、申报资料自查表、小型微型企业收费优惠申请表（如适用）与申报资料份数一致，其中</w:t>
      </w:r>
      <w:r>
        <w:rPr>
          <w:lang w:eastAsia="zh-CN"/>
        </w:rPr>
        <w:t>至少</w:t>
      </w:r>
      <w:r>
        <w:rPr>
          <w:rFonts w:hint="eastAsia"/>
          <w:lang w:eastAsia="zh-CN"/>
        </w:rPr>
        <w:t>两份为原件。填写应当准确、完整、规范，不得手写或涂改，并应符合填表说明的要求。</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楷体_GB2312" w:eastAsia="楷体_GB2312"/>
          <w:lang w:eastAsia="zh-CN"/>
        </w:rPr>
      </w:pPr>
      <w:bookmarkStart w:id="6" w:name="_Toc33798931"/>
      <w:r>
        <w:rPr>
          <w:rFonts w:hint="eastAsia" w:ascii="楷体_GB2312" w:eastAsia="楷体_GB2312"/>
          <w:lang w:eastAsia="zh-CN"/>
        </w:rPr>
        <w:t>（二）申报资料的整理</w:t>
      </w:r>
      <w:bookmarkEnd w:id="6"/>
    </w:p>
    <w:p>
      <w:pPr>
        <w:keepNext w:val="0"/>
        <w:keepLines w:val="0"/>
        <w:pageBreakBefore w:val="0"/>
        <w:kinsoku/>
        <w:wordWrap/>
        <w:overflowPunct w:val="0"/>
        <w:topLinePunct w:val="0"/>
        <w:autoSpaceDE/>
        <w:autoSpaceDN/>
        <w:bidi w:val="0"/>
        <w:spacing w:line="540" w:lineRule="exact"/>
        <w:ind w:firstLine="640"/>
        <w:textAlignment w:val="auto"/>
        <w:rPr>
          <w:lang w:eastAsia="zh-CN"/>
        </w:rPr>
      </w:pPr>
      <w:r>
        <w:rPr>
          <w:lang w:eastAsia="zh-CN"/>
        </w:rPr>
        <w:t>2</w:t>
      </w:r>
      <w:r>
        <w:rPr>
          <w:rFonts w:hint="eastAsia"/>
          <w:lang w:eastAsia="zh-CN"/>
        </w:rPr>
        <w:t>套完整申请资料（至少</w:t>
      </w:r>
      <w:r>
        <w:rPr>
          <w:lang w:eastAsia="zh-CN"/>
        </w:rPr>
        <w:t>1</w:t>
      </w:r>
      <w:r>
        <w:rPr>
          <w:rFonts w:hint="eastAsia"/>
          <w:lang w:eastAsia="zh-CN"/>
        </w:rPr>
        <w:t>套为原件）</w:t>
      </w:r>
      <w:r>
        <w:rPr>
          <w:lang w:eastAsia="zh-CN"/>
        </w:rPr>
        <w:t>+1</w:t>
      </w:r>
      <w:r>
        <w:rPr>
          <w:rFonts w:hint="eastAsia"/>
          <w:lang w:eastAsia="zh-CN"/>
        </w:rPr>
        <w:t>套综述资料（应包含模块一、模块二），每套装入相应的申请表（综述</w:t>
      </w:r>
      <w:r>
        <w:rPr>
          <w:lang w:eastAsia="zh-CN"/>
        </w:rPr>
        <w:t>资料中</w:t>
      </w:r>
      <w:r>
        <w:rPr>
          <w:rFonts w:hint="eastAsia"/>
          <w:lang w:eastAsia="zh-CN"/>
        </w:rPr>
        <w:t>的申请表应</w:t>
      </w:r>
      <w:r>
        <w:rPr>
          <w:lang w:eastAsia="zh-CN"/>
        </w:rPr>
        <w:t>为原件）</w:t>
      </w:r>
      <w:r>
        <w:rPr>
          <w:rFonts w:hint="eastAsia"/>
          <w:lang w:eastAsia="zh-CN"/>
        </w:rPr>
        <w:t>，具体详见《申报资料基本要求》。</w:t>
      </w:r>
    </w:p>
    <w:p>
      <w:pPr>
        <w:keepNext w:val="0"/>
        <w:keepLines w:val="0"/>
        <w:pageBreakBefore w:val="0"/>
        <w:widowControl w:val="0"/>
        <w:kinsoku/>
        <w:wordWrap/>
        <w:topLinePunct w:val="0"/>
        <w:autoSpaceDE/>
        <w:autoSpaceDN/>
        <w:bidi w:val="0"/>
        <w:adjustRightInd w:val="0"/>
        <w:snapToGrid w:val="0"/>
        <w:spacing w:line="540" w:lineRule="exact"/>
        <w:ind w:firstLine="640"/>
        <w:textAlignment w:val="auto"/>
        <w:outlineLvl w:val="2"/>
        <w:rPr>
          <w:rFonts w:eastAsia="黑体"/>
          <w:lang w:eastAsia="zh-CN"/>
        </w:rPr>
      </w:pPr>
      <w:bookmarkStart w:id="7" w:name="_Toc499307975"/>
      <w:bookmarkStart w:id="8" w:name="_Toc498447803"/>
      <w:bookmarkStart w:id="9" w:name="_Toc498447817"/>
      <w:bookmarkStart w:id="10" w:name="_Toc498970003"/>
      <w:r>
        <w:rPr>
          <w:rFonts w:hint="eastAsia" w:eastAsia="黑体"/>
          <w:lang w:eastAsia="zh-CN"/>
        </w:rPr>
        <w:t>四、形式审查要点</w:t>
      </w:r>
      <w:bookmarkEnd w:id="7"/>
      <w:bookmarkEnd w:id="8"/>
      <w:bookmarkEnd w:id="9"/>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rFonts w:ascii="楷体_GB2312" w:eastAsia="楷体_GB2312"/>
          <w:lang w:eastAsia="zh-CN"/>
        </w:rPr>
      </w:pPr>
      <w:bookmarkStart w:id="11" w:name="_Toc33798933"/>
      <w:r>
        <w:rPr>
          <w:rFonts w:hint="eastAsia" w:ascii="楷体_GB2312" w:eastAsia="楷体_GB2312"/>
          <w:lang w:eastAsia="zh-CN"/>
        </w:rPr>
        <w:t>（一）申请事项审查要点</w:t>
      </w:r>
      <w:bookmarkEnd w:id="11"/>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val="en-US" w:eastAsia="zh-CN"/>
        </w:rPr>
        <w:t>1</w:t>
      </w:r>
      <w:r>
        <w:rPr>
          <w:rFonts w:hint="eastAsia"/>
          <w:lang w:eastAsia="zh-CN"/>
        </w:rPr>
        <w:t>.药物临床试验终止后，拟继续开展药物临床试验的，应当重新提出药物临床试验申请。药物临床试验申请自获准之日起，三年内未有受试者签署知情同意书的，该药物临床试验许可自行失效；仍需实施药物临床试验的，应当重新提出申请。</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val="en-US" w:eastAsia="zh-CN"/>
        </w:rPr>
        <w:t>2</w:t>
      </w:r>
      <w:r>
        <w:rPr>
          <w:lang w:eastAsia="zh-CN"/>
        </w:rPr>
        <w:t>.</w:t>
      </w:r>
      <w:r>
        <w:rPr>
          <w:rFonts w:hint="eastAsia"/>
          <w:lang w:eastAsia="zh-CN"/>
        </w:rPr>
        <w:t>疫苗上市许可申请审评期间，发生可能影响疫苗安全性、有效性和质量可控性的重大变更的，申请人应当撤回原注册申请，补充研究后重新申报。申请人名称变更、注册地址名称变更等不涉及技术审评内容的，应当及时书面告知药品审评中心并提交证明性资料。</w:t>
      </w:r>
    </w:p>
    <w:bookmarkEnd w:id="10"/>
    <w:p>
      <w:pPr>
        <w:keepNext w:val="0"/>
        <w:keepLines w:val="0"/>
        <w:pageBreakBefore w:val="0"/>
        <w:widowControl w:val="0"/>
        <w:kinsoku/>
        <w:wordWrap/>
        <w:topLinePunct w:val="0"/>
        <w:autoSpaceDE/>
        <w:autoSpaceDN/>
        <w:bidi w:val="0"/>
        <w:spacing w:line="540" w:lineRule="exact"/>
        <w:ind w:firstLine="640"/>
        <w:textAlignment w:val="auto"/>
        <w:rPr>
          <w:rFonts w:eastAsia="楷体_GB2312"/>
          <w:lang w:eastAsia="zh-CN"/>
        </w:rPr>
      </w:pPr>
      <w:bookmarkStart w:id="12" w:name="_Toc498970005"/>
      <w:r>
        <w:rPr>
          <w:rFonts w:hint="eastAsia" w:eastAsia="楷体_GB2312"/>
          <w:lang w:eastAsia="zh-CN"/>
        </w:rPr>
        <w:t>（二）沟通交流审查要点</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eastAsia="zh-CN"/>
        </w:rPr>
        <w:t>1．申请人在提出药物临床试验申请之前，应向药审中心提出沟通交流会议申请</w:t>
      </w:r>
      <w:r>
        <w:rPr>
          <w:lang w:eastAsia="zh-CN"/>
        </w:rPr>
        <w:t>。</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lang w:eastAsia="zh-CN"/>
        </w:rPr>
        <w:t>2</w:t>
      </w:r>
      <w:r>
        <w:rPr>
          <w:rFonts w:hint="eastAsia"/>
          <w:lang w:eastAsia="zh-CN"/>
        </w:rPr>
        <w:t>．申请人</w:t>
      </w:r>
      <w:r>
        <w:rPr>
          <w:lang w:eastAsia="zh-CN"/>
        </w:rPr>
        <w:t>在</w:t>
      </w:r>
      <w:r>
        <w:rPr>
          <w:rFonts w:hint="eastAsia"/>
          <w:lang w:eastAsia="zh-CN"/>
        </w:rPr>
        <w:t>提出</w:t>
      </w:r>
      <w:r>
        <w:rPr>
          <w:lang w:eastAsia="zh-CN"/>
        </w:rPr>
        <w:t>上市申请之前，</w:t>
      </w:r>
      <w:r>
        <w:rPr>
          <w:rFonts w:hint="eastAsia"/>
          <w:lang w:eastAsia="zh-CN"/>
        </w:rPr>
        <w:t>就现有研究数据是否支持上市申请审查所需资料要求进行</w:t>
      </w:r>
      <w:r>
        <w:rPr>
          <w:lang w:eastAsia="zh-CN"/>
        </w:rPr>
        <w:t>沟通交流。</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eastAsia="zh-CN"/>
        </w:rPr>
        <w:t>3．</w:t>
      </w:r>
      <w:r>
        <w:rPr>
          <w:rFonts w:hint="eastAsia" w:eastAsia="仿宋_GB2312"/>
          <w:lang w:eastAsia="zh-CN"/>
        </w:rPr>
        <w:t>申请人</w:t>
      </w:r>
      <w:r>
        <w:rPr>
          <w:rFonts w:eastAsia="仿宋_GB2312"/>
        </w:rPr>
        <w:t>申请沟通交流</w:t>
      </w:r>
      <w:r>
        <w:rPr>
          <w:rFonts w:hint="eastAsia" w:eastAsia="仿宋_GB2312"/>
          <w:lang w:eastAsia="zh-CN"/>
        </w:rPr>
        <w:t>后并获得回复意见</w:t>
      </w:r>
      <w:r>
        <w:rPr>
          <w:rFonts w:eastAsia="仿宋_GB2312"/>
        </w:rPr>
        <w:t>的，应提交与该申请相关的沟通交流编号、沟通交流回复意见，并就回复意见进行逐项答复</w:t>
      </w:r>
      <w:bookmarkStart w:id="13" w:name="_Toc33798935"/>
      <w:r>
        <w:rPr>
          <w:rFonts w:hint="eastAsia"/>
          <w:lang w:eastAsia="zh-CN"/>
        </w:rPr>
        <w:t>。</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rFonts w:ascii="楷体_GB2312" w:eastAsia="楷体_GB2312"/>
          <w:lang w:eastAsia="zh-CN"/>
        </w:rPr>
      </w:pPr>
      <w:r>
        <w:rPr>
          <w:rFonts w:hint="eastAsia" w:ascii="楷体_GB2312" w:eastAsia="楷体_GB2312"/>
          <w:lang w:eastAsia="zh-CN"/>
        </w:rPr>
        <w:t>（</w:t>
      </w:r>
      <w:r>
        <w:rPr>
          <w:rFonts w:ascii="楷体_GB2312" w:eastAsia="楷体_GB2312"/>
          <w:lang w:eastAsia="zh-CN"/>
        </w:rPr>
        <w:t>三）申请表审查要点</w:t>
      </w:r>
      <w:bookmarkEnd w:id="13"/>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eastAsia="zh-CN"/>
        </w:rPr>
        <w:t>1．药品</w:t>
      </w:r>
      <w:r>
        <w:rPr>
          <w:lang w:eastAsia="zh-CN"/>
        </w:rPr>
        <w:t>注册申请表</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eastAsia="zh-CN"/>
        </w:rPr>
        <w:t>申请表应按照</w:t>
      </w:r>
      <w:r>
        <w:rPr>
          <w:lang w:eastAsia="zh-CN"/>
        </w:rPr>
        <w:t>药品注册申请表</w:t>
      </w:r>
      <w:r>
        <w:rPr>
          <w:rFonts w:hint="eastAsia"/>
          <w:lang w:eastAsia="zh-CN"/>
        </w:rPr>
        <w:t>填表说明的要求规范填写，填报信息应与证明性文件及申报资料保持一致。</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1.1疫苗加快上市注册程序：按照该申请实际情况勾选。经沟通交流确认后，勾选“优先审评审批程序”的，在提出疫苗上市许可申请的同时，按照《优先审评审批工作程序》提出优先审评审批申请；勾选“特别审批程序”的，应按照《药品特别审批程序》办理。</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1.2申请事项：</w:t>
      </w:r>
      <w:r>
        <w:rPr>
          <w:rFonts w:hint="eastAsia"/>
          <w:lang w:eastAsia="zh-CN"/>
        </w:rPr>
        <w:t>按照该申请实际申请事项填写。申请临床研究，选临床试验；申请上市，选择上市许可。</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1.3</w:t>
      </w:r>
      <w:r>
        <w:rPr>
          <w:rFonts w:hint="eastAsia"/>
          <w:lang w:eastAsia="zh-CN"/>
        </w:rPr>
        <w:t>疫苗</w:t>
      </w:r>
      <w:r>
        <w:rPr>
          <w:lang w:eastAsia="zh-CN"/>
        </w:rPr>
        <w:t>注册分类</w:t>
      </w:r>
      <w:r>
        <w:rPr>
          <w:rFonts w:hint="eastAsia"/>
          <w:lang w:eastAsia="zh-CN"/>
        </w:rPr>
        <w:t>：</w:t>
      </w:r>
      <w:r>
        <w:rPr>
          <w:rFonts w:ascii="仿宋_GB2312"/>
          <w:kern w:val="44"/>
          <w:lang w:eastAsia="zh-CN"/>
        </w:rPr>
        <w:t>按照</w:t>
      </w:r>
      <w:r>
        <w:rPr>
          <w:rFonts w:hint="eastAsia" w:ascii="仿宋_GB2312"/>
          <w:kern w:val="44"/>
          <w:lang w:eastAsia="zh-CN"/>
        </w:rPr>
        <w:t>《生物制品注册分类及申报资料要求》预防用</w:t>
      </w:r>
      <w:r>
        <w:rPr>
          <w:rFonts w:ascii="仿宋_GB2312"/>
          <w:kern w:val="44"/>
          <w:lang w:eastAsia="zh-CN"/>
        </w:rPr>
        <w:t>生物制品</w:t>
      </w:r>
      <w:r>
        <w:rPr>
          <w:rFonts w:hint="eastAsia" w:ascii="仿宋_GB2312"/>
          <w:kern w:val="44"/>
          <w:lang w:eastAsia="zh-CN"/>
        </w:rPr>
        <w:t>注册</w:t>
      </w:r>
      <w:r>
        <w:rPr>
          <w:rFonts w:ascii="仿宋_GB2312"/>
          <w:kern w:val="44"/>
          <w:lang w:eastAsia="zh-CN"/>
        </w:rPr>
        <w:t>分类</w:t>
      </w:r>
      <w:r>
        <w:rPr>
          <w:rFonts w:hint="eastAsia" w:ascii="仿宋_GB2312"/>
          <w:kern w:val="44"/>
          <w:lang w:eastAsia="zh-CN"/>
        </w:rPr>
        <w:t>要求</w:t>
      </w:r>
      <w:r>
        <w:rPr>
          <w:rFonts w:ascii="仿宋_GB2312"/>
          <w:kern w:val="44"/>
          <w:lang w:eastAsia="zh-CN"/>
        </w:rPr>
        <w:t>明确注册分类</w:t>
      </w:r>
      <w:r>
        <w:rPr>
          <w:rFonts w:hint="eastAsia" w:ascii="仿宋_GB2312"/>
          <w:kern w:val="44"/>
          <w:lang w:eastAsia="zh-CN"/>
        </w:rPr>
        <w:t>。</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1.4其他事项：同时申请减免临床研究，则选减或免临床研究，并提交减免临床研究的理由及相关资料；符合小型微型企业条件的企业申请收费优惠的，可选小微企业收费优惠。</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1.5疫苗通用名称：已有同类产品上市的，应当使用列入国家药品标准或者药品注册标准的药品通用名称。未列入国家药品标准或者药品注册标准的，申请人在提出药品上市许可申请时，应当在提出上市许可的同时提出通用名称核准申请，并提交相应资料。</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1.6</w:t>
      </w:r>
      <w:r>
        <w:rPr>
          <w:rFonts w:hint="eastAsia"/>
          <w:lang w:eastAsia="zh-CN"/>
        </w:rPr>
        <w:t>同品种已被受理或同期申报的其他制剂及规格：填写该品种已被受理或同期申报的制剂或不同规格品种的受理号及名称，若为完成临床研究申请上市的，需填写原临床申请受理号、临床试验批件号、临床试验登记号。</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1.7</w:t>
      </w:r>
      <w:r>
        <w:rPr>
          <w:rFonts w:hint="eastAsia"/>
          <w:lang w:eastAsia="zh-CN"/>
        </w:rPr>
        <w:t>原</w:t>
      </w:r>
      <w:r>
        <w:rPr>
          <w:lang w:eastAsia="zh-CN"/>
        </w:rPr>
        <w:t>/</w:t>
      </w:r>
      <w:r>
        <w:rPr>
          <w:rFonts w:hint="eastAsia"/>
          <w:lang w:eastAsia="zh-CN"/>
        </w:rPr>
        <w:t>辅料</w:t>
      </w:r>
      <w:r>
        <w:rPr>
          <w:lang w:eastAsia="zh-CN"/>
        </w:rPr>
        <w:t>/</w:t>
      </w:r>
      <w:r>
        <w:rPr>
          <w:rFonts w:hint="eastAsia"/>
          <w:lang w:eastAsia="zh-CN"/>
        </w:rPr>
        <w:t>包材来源：申报疫苗注册时，须填写所用的辅料、包材的相关信息，应与</w:t>
      </w:r>
      <w:r>
        <w:rPr>
          <w:lang w:eastAsia="zh-CN"/>
        </w:rPr>
        <w:t>所提交的证明文件</w:t>
      </w:r>
      <w:r>
        <w:rPr>
          <w:rFonts w:hint="eastAsia"/>
          <w:lang w:eastAsia="zh-CN"/>
        </w:rPr>
        <w:t>以及药</w:t>
      </w:r>
      <w:r>
        <w:rPr>
          <w:lang w:eastAsia="zh-CN"/>
        </w:rPr>
        <w:t>用辅料和药包材登记信息公示平台中相应内容保持一致。</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lang w:eastAsia="zh-CN"/>
        </w:rPr>
        <w:t>1.8</w:t>
      </w:r>
      <w:r>
        <w:rPr>
          <w:rFonts w:hint="eastAsia"/>
          <w:lang w:eastAsia="zh-CN"/>
        </w:rPr>
        <w:t>作用与用途</w:t>
      </w:r>
      <w:r>
        <w:rPr>
          <w:lang w:eastAsia="zh-CN"/>
        </w:rPr>
        <w:t>：简略填写主要</w:t>
      </w:r>
      <w:r>
        <w:rPr>
          <w:rFonts w:hint="eastAsia"/>
          <w:lang w:eastAsia="zh-CN"/>
        </w:rPr>
        <w:t>作用与用途，应涵盖申报资料中所申请的全部预防的疾病</w:t>
      </w:r>
      <w:r>
        <w:rPr>
          <w:lang w:eastAsia="zh-CN"/>
        </w:rPr>
        <w:t>。</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rFonts w:hint="eastAsia"/>
          <w:lang w:eastAsia="zh-CN"/>
        </w:rPr>
        <w:t>1.</w:t>
      </w:r>
      <w:r>
        <w:rPr>
          <w:lang w:eastAsia="zh-CN"/>
        </w:rPr>
        <w:t>9</w:t>
      </w:r>
      <w:r>
        <w:rPr>
          <w:rFonts w:hint="eastAsia"/>
          <w:lang w:eastAsia="zh-CN"/>
        </w:rPr>
        <w:t>本次申请为：填写申报品种本次属于第几次申报。简要说明既往申报及审批情况。如申请人自行撤回或因资料不符合审批要求曾被国家药品监督管理局不予批准等情况。原申请审批结束后，方可再行申报。</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lang w:eastAsia="zh-CN"/>
        </w:rPr>
      </w:pPr>
      <w:r>
        <w:rPr>
          <w:lang w:eastAsia="zh-CN"/>
        </w:rPr>
        <w:t>1.10</w:t>
      </w:r>
      <w:r>
        <w:rPr>
          <w:rFonts w:hint="eastAsia"/>
          <w:lang w:eastAsia="zh-CN"/>
        </w:rPr>
        <w:t>申请人及</w:t>
      </w:r>
      <w:r>
        <w:rPr>
          <w:lang w:eastAsia="zh-CN"/>
        </w:rPr>
        <w:t>委托研究机构</w:t>
      </w:r>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rFonts w:hint="eastAsia"/>
          <w:lang w:eastAsia="zh-CN"/>
        </w:rPr>
        <w:t>所填报的信息应与证明性文件和申报资料保持一致，并指定其中一个申请机构负责向国家缴纳注册费用。已经填入的申请人各机构均应当由其法定代表人或接受其授权者（另需提供签字授权书原件）在此签名、加盖机构公章（须与其机构名称完全一致）。</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color w:val="auto"/>
          <w:lang w:eastAsia="zh-CN"/>
        </w:rPr>
        <w:t>2.</w:t>
      </w:r>
      <w:r>
        <w:rPr>
          <w:rFonts w:hint="eastAsia"/>
          <w:lang w:eastAsia="zh-CN"/>
        </w:rPr>
        <w:t>《小型微型企业收费优惠申请表》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如符合小微企业行政事业性收费优惠政策，可提交小型微型企业收费优惠申请表并提供如下信息：</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color w:val="auto"/>
          <w:lang w:eastAsia="zh-CN"/>
        </w:rPr>
        <w:t>2.1</w:t>
      </w:r>
      <w:r>
        <w:rPr>
          <w:lang w:eastAsia="zh-CN"/>
        </w:rPr>
        <w:t>基本信息：如企业名称、联系人、联系电话等，应与《药品注册申请表》有关信息一致。</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color w:val="auto"/>
          <w:lang w:eastAsia="zh-CN"/>
        </w:rPr>
        <w:t>2.2</w:t>
      </w:r>
      <w:r>
        <w:rPr>
          <w:lang w:eastAsia="zh-CN"/>
        </w:rPr>
        <w:t>从业人员、上一纳税年度营业收入、企业资产总值等：申请人依实际情况填写。</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color w:val="auto"/>
          <w:lang w:eastAsia="zh-CN"/>
        </w:rPr>
        <w:t>2.3</w:t>
      </w:r>
      <w:r>
        <w:rPr>
          <w:lang w:eastAsia="zh-CN"/>
        </w:rPr>
        <w:t>应由其法定代表人或接受其授权者（另需提供签字授权书原件）在此签名、加盖机构公章（须与其机构名称完全一致）。</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2"/>
        <w:rPr>
          <w:rFonts w:ascii="楷体_GB2312" w:eastAsia="楷体_GB2312"/>
          <w:lang w:eastAsia="zh-CN"/>
        </w:rPr>
      </w:pPr>
      <w:bookmarkStart w:id="14" w:name="_Toc33798936"/>
      <w:r>
        <w:rPr>
          <w:rFonts w:hint="eastAsia" w:ascii="楷体_GB2312" w:eastAsia="楷体_GB2312"/>
          <w:lang w:eastAsia="zh-CN"/>
        </w:rPr>
        <w:t>（</w:t>
      </w:r>
      <w:r>
        <w:rPr>
          <w:rFonts w:ascii="楷体_GB2312" w:eastAsia="楷体_GB2312"/>
          <w:lang w:eastAsia="zh-CN"/>
        </w:rPr>
        <w:t>四）</w:t>
      </w:r>
      <w:r>
        <w:rPr>
          <w:rFonts w:hint="eastAsia" w:ascii="楷体_GB2312" w:eastAsia="楷体_GB2312"/>
          <w:lang w:eastAsia="zh-CN"/>
        </w:rPr>
        <w:t>申报资料审查要点</w:t>
      </w:r>
      <w:bookmarkEnd w:id="14"/>
    </w:p>
    <w:p>
      <w:pPr>
        <w:keepNext w:val="0"/>
        <w:keepLines w:val="0"/>
        <w:pageBreakBefore w:val="0"/>
        <w:widowControl w:val="0"/>
        <w:kinsoku/>
        <w:wordWrap/>
        <w:topLinePunct w:val="0"/>
        <w:autoSpaceDE/>
        <w:autoSpaceDN/>
        <w:bidi w:val="0"/>
        <w:spacing w:line="540" w:lineRule="exact"/>
        <w:ind w:firstLine="640"/>
        <w:textAlignment w:val="auto"/>
        <w:rPr>
          <w:rFonts w:ascii="楷体_GB2312" w:eastAsia="楷体_GB2312"/>
          <w:lang w:eastAsia="zh-CN"/>
        </w:rPr>
      </w:pPr>
      <w:r>
        <w:rPr>
          <w:rFonts w:hint="default" w:ascii="Times New Roman" w:eastAsia="楷体_GB2312"/>
          <w:lang w:eastAsia="zh-CN"/>
        </w:rPr>
        <w:t>1</w:t>
      </w:r>
      <w:r>
        <w:rPr>
          <w:rFonts w:hint="eastAsia"/>
          <w:lang w:eastAsia="zh-CN"/>
        </w:rPr>
        <w:t>．</w:t>
      </w:r>
      <w:r>
        <w:rPr>
          <w:rFonts w:hint="eastAsia" w:ascii="楷体_GB2312" w:eastAsia="楷体_GB2312"/>
          <w:lang w:eastAsia="zh-CN"/>
        </w:rPr>
        <w:t>产品</w:t>
      </w:r>
      <w:r>
        <w:rPr>
          <w:rFonts w:ascii="楷体_GB2312" w:eastAsia="楷体_GB2312"/>
          <w:lang w:eastAsia="zh-CN"/>
        </w:rPr>
        <w:t>相关证明文件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1.1</w:t>
      </w:r>
      <w:r>
        <w:rPr>
          <w:rFonts w:hint="eastAsia"/>
          <w:lang w:eastAsia="zh-CN"/>
        </w:rPr>
        <w:t>药用辅料及药包材证明文件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药用辅料及药包材合法来源证明文件，包括供货协议、发票等。</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对于选用已登记辅包关联审评情形的</w:t>
      </w:r>
      <w:r>
        <w:rPr>
          <w:lang w:eastAsia="zh-CN"/>
        </w:rPr>
        <w:t>，</w:t>
      </w:r>
      <w:r>
        <w:rPr>
          <w:rFonts w:hint="eastAsia"/>
          <w:lang w:eastAsia="zh-CN"/>
        </w:rPr>
        <w:t>还</w:t>
      </w:r>
      <w:r>
        <w:rPr>
          <w:lang w:eastAsia="zh-CN"/>
        </w:rPr>
        <w:t>应提交</w:t>
      </w:r>
      <w:r>
        <w:rPr>
          <w:rFonts w:hint="eastAsia"/>
          <w:lang w:eastAsia="zh-CN"/>
        </w:rPr>
        <w:t>药用辅料及药包材使用授权书复印件(如适用)，如为供应商出具，需有药用辅料和药包材企业授权，并附授权信复印件。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w:t>
      </w:r>
      <w:r>
        <w:rPr>
          <w:lang w:eastAsia="zh-CN"/>
        </w:rPr>
        <w:t>2</w:t>
      </w:r>
      <w:r>
        <w:rPr>
          <w:rFonts w:hint="eastAsia"/>
          <w:lang w:eastAsia="zh-CN"/>
        </w:rPr>
        <w:t>专利信息及证明文件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申请的药物或者使用的处方、工艺、用途等专利情况及其权属状态说明，以及对他人的专利不构成侵权的声明。应由申请人出具，并承诺对可能的侵权后果承担全部责任。</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1.3对照药来源证明文件（如适用）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w:t>
      </w:r>
      <w:r>
        <w:rPr>
          <w:lang w:eastAsia="zh-CN"/>
        </w:rPr>
        <w:t>4</w:t>
      </w:r>
      <w:r>
        <w:rPr>
          <w:rFonts w:hint="eastAsia"/>
          <w:lang w:eastAsia="zh-CN"/>
        </w:rPr>
        <w:t>商标信息及证明文件（如适用）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ascii="仿宋_GB2312"/>
          <w:color w:val="auto"/>
          <w:kern w:val="44"/>
          <w:lang w:eastAsia="zh-CN"/>
        </w:rPr>
        <w:t>申请商品</w:t>
      </w:r>
      <w:r>
        <w:rPr>
          <w:rFonts w:ascii="仿宋_GB2312"/>
          <w:color w:val="auto"/>
          <w:kern w:val="44"/>
          <w:lang w:eastAsia="zh-CN"/>
        </w:rPr>
        <w:t>名</w:t>
      </w:r>
      <w:r>
        <w:rPr>
          <w:rFonts w:hint="eastAsia"/>
          <w:lang w:eastAsia="zh-CN"/>
        </w:rPr>
        <w:t>的，应提交商标局出具的商标注册证。</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1.</w:t>
      </w:r>
      <w:r>
        <w:rPr>
          <w:lang w:eastAsia="zh-CN"/>
        </w:rPr>
        <w:t>5</w:t>
      </w:r>
      <w:r>
        <w:rPr>
          <w:rFonts w:hint="eastAsia"/>
          <w:lang w:eastAsia="zh-CN"/>
        </w:rPr>
        <w:t>药物临床试验相关证明文件（上市申请适用）</w:t>
      </w:r>
    </w:p>
    <w:p>
      <w:pPr>
        <w:keepNext w:val="0"/>
        <w:keepLines w:val="0"/>
        <w:pageBreakBefore w:val="0"/>
        <w:kinsoku/>
        <w:wordWrap/>
        <w:overflowPunct w:val="0"/>
        <w:topLinePunct w:val="0"/>
        <w:autoSpaceDE/>
        <w:autoSpaceDN/>
        <w:bidi w:val="0"/>
        <w:spacing w:line="540" w:lineRule="exact"/>
        <w:ind w:firstLine="640"/>
        <w:textAlignment w:val="auto"/>
        <w:rPr>
          <w:color w:val="auto"/>
          <w:lang w:eastAsia="zh-CN"/>
        </w:rPr>
      </w:pPr>
      <w:r>
        <w:rPr>
          <w:rFonts w:hint="eastAsia"/>
          <w:color w:val="auto"/>
          <w:lang w:eastAsia="zh-CN"/>
        </w:rPr>
        <w:t>《药物临床试验批件》/临床试验通知书及临床试验过程中相关补充申请或备案的证明文件（如有）复印件、临床试验用药质量标准及临床试验登记号</w:t>
      </w:r>
      <w:r>
        <w:rPr>
          <w:rFonts w:hint="eastAsia"/>
          <w:lang w:eastAsia="zh-CN"/>
        </w:rPr>
        <w:t>等相关材料，</w:t>
      </w:r>
      <w:r>
        <w:rPr>
          <w:lang w:eastAsia="zh-CN"/>
        </w:rPr>
        <w:t>并就</w:t>
      </w:r>
      <w:r>
        <w:rPr>
          <w:rFonts w:hint="eastAsia"/>
          <w:lang w:eastAsia="zh-CN"/>
        </w:rPr>
        <w:t>《药物</w:t>
      </w:r>
      <w:r>
        <w:rPr>
          <w:lang w:eastAsia="zh-CN"/>
        </w:rPr>
        <w:t>临床试验批件</w:t>
      </w:r>
      <w:r>
        <w:rPr>
          <w:rFonts w:hint="eastAsia"/>
          <w:lang w:eastAsia="zh-CN"/>
        </w:rPr>
        <w:t>》/临床</w:t>
      </w:r>
      <w:r>
        <w:rPr>
          <w:lang w:eastAsia="zh-CN"/>
        </w:rPr>
        <w:t>试验通知书中</w:t>
      </w:r>
      <w:r>
        <w:rPr>
          <w:rFonts w:hint="eastAsia"/>
          <w:lang w:eastAsia="zh-CN"/>
        </w:rPr>
        <w:t>意见</w:t>
      </w:r>
      <w:r>
        <w:rPr>
          <w:lang w:eastAsia="zh-CN"/>
        </w:rPr>
        <w:t>进行逐项答复</w:t>
      </w:r>
      <w:r>
        <w:rPr>
          <w:rFonts w:hint="eastAsia"/>
          <w:lang w:eastAsia="zh-CN"/>
        </w:rPr>
        <w:t>。</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1.6</w:t>
      </w:r>
      <w:r>
        <w:rPr>
          <w:rFonts w:hint="eastAsia"/>
          <w:lang w:eastAsia="zh-CN"/>
        </w:rPr>
        <w:t>委托研究证明文件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复印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非临床研究安全性评价机构应提供符合《药物非临床研究质量管理规范》（简称GLP）的批准证明，临床研究机构应提供备案证明。</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w:t>
      </w:r>
      <w:r>
        <w:rPr>
          <w:rFonts w:hint="eastAsia"/>
          <w:lang w:eastAsia="zh-CN"/>
        </w:rPr>
        <w:t>7药械组合产品相关证明性文件</w:t>
      </w:r>
    </w:p>
    <w:p>
      <w:pPr>
        <w:keepNext w:val="0"/>
        <w:keepLines w:val="0"/>
        <w:pageBreakBefore w:val="0"/>
        <w:widowControl w:val="0"/>
        <w:kinsoku/>
        <w:wordWrap/>
        <w:topLinePunct w:val="0"/>
        <w:autoSpaceDE/>
        <w:autoSpaceDN/>
        <w:bidi w:val="0"/>
        <w:spacing w:line="540" w:lineRule="exact"/>
        <w:ind w:firstLine="640"/>
        <w:textAlignment w:val="auto"/>
        <w:rPr>
          <w:rFonts w:hint="eastAsia"/>
          <w:lang w:eastAsia="zh-CN"/>
        </w:rPr>
      </w:pPr>
      <w:r>
        <w:rPr>
          <w:rFonts w:hint="eastAsia"/>
          <w:lang w:eastAsia="zh-CN"/>
        </w:rPr>
        <w:t>经属性界定确认属于药品或以药品为主的药械组合产品，应提交药械组合产品的属性界定结果通知书复印件。</w:t>
      </w:r>
    </w:p>
    <w:p>
      <w:pPr>
        <w:keepNext w:val="0"/>
        <w:keepLines w:val="0"/>
        <w:pageBreakBefore w:val="0"/>
        <w:widowControl w:val="0"/>
        <w:kinsoku/>
        <w:wordWrap/>
        <w:topLinePunct w:val="0"/>
        <w:autoSpaceDE/>
        <w:autoSpaceDN/>
        <w:bidi w:val="0"/>
        <w:spacing w:line="540" w:lineRule="exact"/>
        <w:ind w:firstLine="640"/>
        <w:textAlignment w:val="auto"/>
        <w:rPr>
          <w:rFonts w:hint="eastAsia"/>
          <w:lang w:val="en-US" w:eastAsia="zh-CN"/>
        </w:rPr>
      </w:pPr>
      <w:r>
        <w:rPr>
          <w:rFonts w:hint="eastAsia"/>
          <w:lang w:val="en-US" w:eastAsia="zh-CN"/>
        </w:rPr>
        <w:t>1.8 允许临床试验证明文件</w:t>
      </w:r>
    </w:p>
    <w:p>
      <w:pPr>
        <w:keepNext w:val="0"/>
        <w:keepLines w:val="0"/>
        <w:pageBreakBefore w:val="0"/>
        <w:widowControl w:val="0"/>
        <w:kinsoku/>
        <w:wordWrap/>
        <w:topLinePunct w:val="0"/>
        <w:autoSpaceDE/>
        <w:autoSpaceDN/>
        <w:bidi w:val="0"/>
        <w:spacing w:line="540" w:lineRule="exact"/>
        <w:ind w:firstLine="640"/>
        <w:textAlignment w:val="auto"/>
        <w:rPr>
          <w:rFonts w:hint="eastAsia"/>
          <w:lang w:val="en-US" w:eastAsia="zh-CN"/>
        </w:rPr>
      </w:pPr>
      <w:r>
        <w:rPr>
          <w:rFonts w:hint="eastAsia"/>
          <w:lang w:eastAsia="zh-CN"/>
        </w:rPr>
        <w:t>境外</w:t>
      </w:r>
      <w:r>
        <w:rPr>
          <w:rFonts w:hint="eastAsia"/>
          <w:lang w:val="en-US" w:eastAsia="zh-CN"/>
        </w:rPr>
        <w:t>未</w:t>
      </w:r>
      <w:r>
        <w:rPr>
          <w:rFonts w:hint="eastAsia"/>
          <w:lang w:eastAsia="zh-CN"/>
        </w:rPr>
        <w:t>上市的</w:t>
      </w:r>
      <w:r>
        <w:rPr>
          <w:rFonts w:hint="eastAsia" w:ascii="仿宋_GB2312"/>
          <w:color w:val="auto"/>
          <w:kern w:val="44"/>
          <w:lang w:eastAsia="zh-CN"/>
        </w:rPr>
        <w:t>疫苗</w:t>
      </w:r>
      <w:r>
        <w:rPr>
          <w:rFonts w:hint="eastAsia"/>
          <w:lang w:eastAsia="zh-CN"/>
        </w:rPr>
        <w:t>，应提交境外药品管理机构出具的允许该疫苗临床试验证明文件（如有）或其他相应证明文件、公证认证文书及中文译文。</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w:t>
      </w:r>
      <w:r>
        <w:rPr>
          <w:rFonts w:hint="eastAsia"/>
          <w:lang w:val="en-US" w:eastAsia="zh-CN"/>
        </w:rPr>
        <w:t xml:space="preserve">9 </w:t>
      </w:r>
      <w:r>
        <w:rPr>
          <w:rFonts w:hint="eastAsia"/>
          <w:lang w:eastAsia="zh-CN"/>
        </w:rPr>
        <w:t>允许疫苗上市销售证明文件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境外已上市的</w:t>
      </w:r>
      <w:r>
        <w:rPr>
          <w:rFonts w:hint="eastAsia" w:ascii="仿宋_GB2312"/>
          <w:color w:val="auto"/>
          <w:kern w:val="44"/>
          <w:lang w:eastAsia="zh-CN"/>
        </w:rPr>
        <w:t>境外</w:t>
      </w:r>
      <w:r>
        <w:rPr>
          <w:rFonts w:ascii="仿宋_GB2312"/>
          <w:color w:val="auto"/>
          <w:kern w:val="44"/>
          <w:lang w:eastAsia="zh-CN"/>
        </w:rPr>
        <w:t>生产的</w:t>
      </w:r>
      <w:r>
        <w:rPr>
          <w:rFonts w:hint="eastAsia"/>
          <w:lang w:eastAsia="zh-CN"/>
        </w:rPr>
        <w:t>疫苗，应提交境外药品管理机构出具的允许该疫苗上市销售证明文件、公证认证文书及中文译文。</w:t>
      </w:r>
    </w:p>
    <w:p>
      <w:pPr>
        <w:keepNext w:val="0"/>
        <w:keepLines w:val="0"/>
        <w:pageBreakBefore w:val="0"/>
        <w:widowControl w:val="0"/>
        <w:kinsoku/>
        <w:wordWrap/>
        <w:topLinePunct w:val="0"/>
        <w:autoSpaceDE/>
        <w:autoSpaceDN/>
        <w:bidi w:val="0"/>
        <w:spacing w:line="540" w:lineRule="exact"/>
        <w:ind w:firstLine="640"/>
        <w:textAlignment w:val="auto"/>
        <w:rPr>
          <w:rFonts w:ascii="楷体_GB2312" w:eastAsia="楷体_GB2312"/>
          <w:lang w:eastAsia="zh-CN"/>
        </w:rPr>
      </w:pPr>
      <w:r>
        <w:rPr>
          <w:rFonts w:hint="default" w:ascii="Times New Roman" w:eastAsia="楷体_GB2312"/>
          <w:lang w:eastAsia="zh-CN"/>
        </w:rPr>
        <w:t>2</w:t>
      </w:r>
      <w:r>
        <w:rPr>
          <w:rFonts w:hint="eastAsia"/>
          <w:lang w:eastAsia="zh-CN"/>
        </w:rPr>
        <w:t>．</w:t>
      </w:r>
      <w:r>
        <w:rPr>
          <w:rFonts w:hint="eastAsia" w:ascii="楷体_GB2312" w:eastAsia="楷体_GB2312"/>
          <w:lang w:eastAsia="zh-CN"/>
        </w:rPr>
        <w:t>申请人/生产</w:t>
      </w:r>
      <w:r>
        <w:rPr>
          <w:rFonts w:ascii="楷体_GB2312" w:eastAsia="楷体_GB2312"/>
          <w:lang w:eastAsia="zh-CN"/>
        </w:rPr>
        <w:t>企业资质证明文件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2.1申请人资质证明文件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2.1.1申请人机构合法登记证明文件（营业执照等）。申请人相应药品生产许可证及其变更记录页（上市许可适用）。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2.1.2境外申请人指定中国境内的企业法人办理相关疫苗注册事项的，应当提供委托文书、公证文书及其中文译本，以及注册代理机构的营业执照复印件。上市许可申请时，如变更注册代理机构，还应提交境外申请人解除原委托代理注册关系的文书、公证文书及中文译文。</w:t>
      </w:r>
      <w:r>
        <w:rPr>
          <w:lang w:eastAsia="zh-CN"/>
        </w:rPr>
        <w:t xml:space="preserve">               </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2.2生产企业资质证明文件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2.2.1生产企业机构合法登记证明文件（营业执照等）。生产企业相应药品生产许可证及变更记录页（上市许可适用）。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2.2.2境外药品管理机构出具的该疫苗生产企业和包装厂符合药品生产质量管理规范的证明文件、公证认证文书及中文译文（境外生产疫苗适用）。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2.2.3申请临床试验的，应提供其临床试验用药物在符合药品生产质量管理规范的条件下制备的情况说明。</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2.3</w:t>
      </w:r>
      <w:r>
        <w:rPr>
          <w:rFonts w:hint="eastAsia"/>
          <w:lang w:eastAsia="zh-CN"/>
        </w:rPr>
        <w:t>小微企业申报资料（如适用）：企业的工商营业执照副本复印件；上一年度企业所得税纳税申报表（须经税务部门盖章确认）或上一年度有效统计表（统计部门出具）原件。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2.4</w:t>
      </w:r>
      <w:r>
        <w:rPr>
          <w:rFonts w:hint="eastAsia"/>
          <w:lang w:eastAsia="zh-CN"/>
        </w:rPr>
        <w:t>对于关键原材料来源、佐剂来源、生产用毒种和生产用细胞基质来源等证明文件，应在3.2.S.2.3予以提供。</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2.5</w:t>
      </w:r>
      <w:r>
        <w:rPr>
          <w:rFonts w:hint="eastAsia"/>
          <w:lang w:eastAsia="zh-CN"/>
        </w:rPr>
        <w:t>疫苗临床试验机构应提供三级医疗机构或省级以上疾病预防控制机构相关资质证明文件。</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2.6</w:t>
      </w:r>
      <w:r>
        <w:rPr>
          <w:rFonts w:hint="eastAsia"/>
          <w:lang w:eastAsia="zh-CN"/>
        </w:rPr>
        <w:t>境外申请人申请在境内开展未成年人用疫苗临床试验的，应当至少取得境外含目标人群的I期临床试验数据。为应对重大突发公共卫生事件急需的疫苗或者国务院卫生健康主管部门认定急需的其他疫苗除外。</w:t>
      </w:r>
    </w:p>
    <w:p>
      <w:pPr>
        <w:keepNext w:val="0"/>
        <w:keepLines w:val="0"/>
        <w:pageBreakBefore w:val="0"/>
        <w:widowControl w:val="0"/>
        <w:kinsoku/>
        <w:wordWrap/>
        <w:topLinePunct w:val="0"/>
        <w:autoSpaceDE/>
        <w:autoSpaceDN/>
        <w:bidi w:val="0"/>
        <w:spacing w:line="540" w:lineRule="exact"/>
        <w:ind w:firstLine="627" w:firstLineChars="196"/>
        <w:textAlignment w:val="auto"/>
        <w:rPr>
          <w:rFonts w:ascii="楷体_GB2312" w:eastAsia="楷体_GB2312"/>
          <w:lang w:eastAsia="zh-CN"/>
        </w:rPr>
      </w:pPr>
      <w:bookmarkStart w:id="15" w:name="_Toc33798937"/>
      <w:r>
        <w:rPr>
          <w:rFonts w:ascii="楷体_GB2312" w:eastAsia="楷体_GB2312"/>
          <w:lang w:eastAsia="zh-CN"/>
        </w:rPr>
        <w:t>3</w:t>
      </w:r>
      <w:r>
        <w:rPr>
          <w:rFonts w:hint="eastAsia"/>
          <w:lang w:eastAsia="zh-CN"/>
        </w:rPr>
        <w:t>．</w:t>
      </w:r>
      <w:r>
        <w:rPr>
          <w:rFonts w:hint="eastAsia" w:ascii="楷体_GB2312" w:eastAsia="楷体_GB2312"/>
          <w:lang w:eastAsia="zh-CN"/>
        </w:rPr>
        <w:t>其他</w:t>
      </w:r>
      <w:r>
        <w:rPr>
          <w:rFonts w:ascii="楷体_GB2312" w:eastAsia="楷体_GB2312"/>
          <w:lang w:eastAsia="zh-CN"/>
        </w:rPr>
        <w:t>申报资料</w:t>
      </w:r>
      <w:r>
        <w:rPr>
          <w:rFonts w:hint="eastAsia" w:ascii="楷体_GB2312" w:eastAsia="楷体_GB2312"/>
          <w:lang w:eastAsia="zh-CN"/>
        </w:rPr>
        <w:t>审查要点</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3.1</w:t>
      </w:r>
      <w:r>
        <w:rPr>
          <w:rFonts w:hint="eastAsia"/>
          <w:lang w:eastAsia="zh-CN"/>
        </w:rPr>
        <w:t>注册分类及依据</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申请人应按照《生物制品注册分类及申报资料要求》第一部分预防用生物制品的注册分类要求明确注册分类，并在模块一说明函中说明分类依据。</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注册分类应根据申报注册时制品所处的成熟程度进行界定，审评过程中不再更改。审评审批过程中发现注册分类与实际情况不符的，申请人应主动撤回，修改完善后再行申报。</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申报资料真实性声明，应由申请人声明对所申报的材料真实性负责，保证申报资料的真实有效。同时，需要法定代表人签字盖章。在境外形成的此文件，应经所在国公证机构公证及驻所在国中国使领馆认证。</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3.2</w:t>
      </w:r>
      <w:r>
        <w:rPr>
          <w:rFonts w:hint="eastAsia"/>
          <w:lang w:eastAsia="zh-CN"/>
        </w:rPr>
        <w:t>药学申报资料要求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3.2.1</w:t>
      </w:r>
      <w:r>
        <w:rPr>
          <w:rFonts w:hint="eastAsia"/>
          <w:lang w:eastAsia="zh-CN"/>
        </w:rPr>
        <w:t>种子批及细胞基质</w:t>
      </w:r>
      <w:r>
        <w:rPr>
          <w:lang w:eastAsia="zh-CN"/>
        </w:rPr>
        <w:t xml:space="preserve">  </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对于涉及病毒毒种的疫苗申报资料，应在</w:t>
      </w:r>
      <w:r>
        <w:rPr>
          <w:lang w:eastAsia="zh-CN"/>
        </w:rPr>
        <w:t>3.2.S.2.3</w:t>
      </w:r>
      <w:r>
        <w:rPr>
          <w:rFonts w:hint="eastAsia"/>
          <w:lang w:eastAsia="zh-CN"/>
        </w:rPr>
        <w:t>部分提交生产用毒种资料。如不适用也应予以说明。</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在</w:t>
      </w:r>
      <w:r>
        <w:rPr>
          <w:lang w:eastAsia="zh-CN"/>
        </w:rPr>
        <w:t>3.2.S.2.3</w:t>
      </w:r>
      <w:r>
        <w:rPr>
          <w:rFonts w:hint="eastAsia"/>
          <w:lang w:eastAsia="zh-CN"/>
        </w:rPr>
        <w:t>提供生产用毒种种子批和生产用细胞基质种子批中检院复核检定报告。</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3.2.2</w:t>
      </w:r>
      <w:r>
        <w:rPr>
          <w:rFonts w:hint="eastAsia"/>
          <w:lang w:eastAsia="zh-CN"/>
        </w:rPr>
        <w:t>佐剂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佐剂相关研究资料提交至以下两个部分：在</w:t>
      </w:r>
      <w:r>
        <w:rPr>
          <w:lang w:eastAsia="zh-CN"/>
        </w:rPr>
        <w:t>3.2.P</w:t>
      </w:r>
      <w:r>
        <w:rPr>
          <w:rFonts w:hint="eastAsia"/>
          <w:lang w:eastAsia="zh-CN"/>
        </w:rPr>
        <w:t>提供佐剂的概述；在</w:t>
      </w:r>
      <w:r>
        <w:rPr>
          <w:lang w:eastAsia="zh-CN"/>
        </w:rPr>
        <w:t>3.2.A.3</w:t>
      </w:r>
      <w:r>
        <w:rPr>
          <w:rFonts w:hint="eastAsia"/>
          <w:lang w:eastAsia="zh-CN"/>
        </w:rPr>
        <w:t>提交完整的</w:t>
      </w:r>
      <w:r>
        <w:rPr>
          <w:lang w:eastAsia="zh-CN"/>
        </w:rPr>
        <w:t>CMC</w:t>
      </w:r>
      <w:r>
        <w:rPr>
          <w:rFonts w:hint="eastAsia"/>
          <w:lang w:eastAsia="zh-CN"/>
        </w:rPr>
        <w:t>信息。</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3.2.3</w:t>
      </w:r>
      <w:r>
        <w:rPr>
          <w:rFonts w:hint="eastAsia"/>
          <w:lang w:eastAsia="zh-CN"/>
        </w:rPr>
        <w:t>外源因子安全性评价</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目标病毒灭活验证资料提供在</w:t>
      </w:r>
      <w:r>
        <w:rPr>
          <w:lang w:eastAsia="zh-CN"/>
        </w:rPr>
        <w:t>3.2.S.2.5</w:t>
      </w:r>
      <w:r>
        <w:rPr>
          <w:rFonts w:hint="eastAsia"/>
          <w:lang w:eastAsia="zh-CN"/>
        </w:rPr>
        <w:t>工艺验证部分。非目标病毒的灭活和清除验证研究提供在</w:t>
      </w:r>
      <w:r>
        <w:rPr>
          <w:lang w:eastAsia="zh-CN"/>
        </w:rPr>
        <w:t>3.2.A</w:t>
      </w:r>
      <w:r>
        <w:rPr>
          <w:rFonts w:hint="eastAsia"/>
          <w:lang w:eastAsia="zh-CN"/>
        </w:rPr>
        <w:t>.</w:t>
      </w:r>
      <w:r>
        <w:rPr>
          <w:lang w:eastAsia="zh-CN"/>
        </w:rPr>
        <w:t>2</w:t>
      </w:r>
      <w:r>
        <w:rPr>
          <w:rFonts w:hint="eastAsia"/>
          <w:lang w:eastAsia="zh-CN"/>
        </w:rPr>
        <w:t>外源因子安全性评价部分。如不适用也应予以说明。</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3.2.4</w:t>
      </w:r>
      <w:r>
        <w:rPr>
          <w:rFonts w:hint="eastAsia"/>
          <w:lang w:eastAsia="zh-CN"/>
        </w:rPr>
        <w:t>多联/多价疫苗：</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对于多价疫苗，各组分生产工艺和质量控制较为相似的，可在同一</w:t>
      </w:r>
      <w:r>
        <w:rPr>
          <w:lang w:eastAsia="zh-CN"/>
        </w:rPr>
        <w:t>3.2.S</w:t>
      </w:r>
      <w:r>
        <w:rPr>
          <w:rFonts w:hint="eastAsia"/>
          <w:lang w:eastAsia="zh-CN"/>
        </w:rPr>
        <w:t>章节中进行描述；差异较大的，可分别提供单独的</w:t>
      </w:r>
      <w:r>
        <w:rPr>
          <w:lang w:eastAsia="zh-CN"/>
        </w:rPr>
        <w:t>3.2.S</w:t>
      </w:r>
      <w:r>
        <w:rPr>
          <w:rFonts w:hint="eastAsia"/>
          <w:lang w:eastAsia="zh-CN"/>
        </w:rPr>
        <w:t>章节。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当产品含有多种组分时（例如联合疫苗，或附带稀释剂），每个组分可分别提供完整的原液和</w:t>
      </w:r>
      <w:r>
        <w:rPr>
          <w:lang w:eastAsia="zh-CN"/>
        </w:rPr>
        <w:t>/</w:t>
      </w:r>
      <w:r>
        <w:rPr>
          <w:rFonts w:hint="eastAsia"/>
          <w:lang w:eastAsia="zh-CN"/>
        </w:rPr>
        <w:t>或制剂章节。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w:t>
      </w:r>
      <w:r>
        <w:rPr>
          <w:lang w:eastAsia="zh-CN"/>
        </w:rPr>
        <w:t>5 区域性信息</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3.2.R.1工艺验证</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应提供工艺验证方案和报告。</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3.2.R.2批记录</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临床试验申请时，提供代表临床试验用样品工艺的批生产、检验记录；</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上市申请时，提供关键临床批和至少连续三批拟上市规模验证批的批生产、检验记录；</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提供上述批次的检验报告。</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3.2.R.3分析方法验证报告</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提供分析方法验证报告，包含典型图谱。</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3.2.R.4稳定性图谱</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提供稳定性研究的典型图谱。</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3.2.R.5可比性方案（如适用）</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3.2.R.6其他</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3.3</w:t>
      </w:r>
      <w:r>
        <w:rPr>
          <w:rFonts w:hint="eastAsia"/>
          <w:lang w:eastAsia="zh-CN"/>
        </w:rPr>
        <w:t>非临床资料要求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3.3.1</w:t>
      </w:r>
      <w:r>
        <w:rPr>
          <w:rFonts w:hint="eastAsia"/>
          <w:lang w:eastAsia="zh-CN"/>
        </w:rPr>
        <w:t>佐剂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对于佐剂，如有药代、毒理学研究可按照ICH M4基本框架放在相应项下；使用佐剂类型、添加佐剂必要性及佐剂</w:t>
      </w:r>
      <w:r>
        <w:rPr>
          <w:lang w:eastAsia="zh-CN"/>
        </w:rPr>
        <w:t>/</w:t>
      </w:r>
      <w:r>
        <w:rPr>
          <w:rFonts w:hint="eastAsia"/>
          <w:lang w:eastAsia="zh-CN"/>
        </w:rPr>
        <w:t>抗原配比合理性、佐剂机制等研究内容放在</w:t>
      </w:r>
      <w:r>
        <w:rPr>
          <w:lang w:eastAsia="zh-CN"/>
        </w:rPr>
        <w:t>4.2.1.1</w:t>
      </w:r>
      <w:r>
        <w:rPr>
          <w:rFonts w:hint="eastAsia"/>
          <w:lang w:eastAsia="zh-CN"/>
        </w:rPr>
        <w:t>主要药效学部分。</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3.3.2</w:t>
      </w:r>
      <w:r>
        <w:rPr>
          <w:rFonts w:hint="eastAsia"/>
          <w:lang w:eastAsia="zh-CN"/>
        </w:rPr>
        <w:t>多联/多价疫苗</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多联/多价疫苗抗原配比合理性、多价</w:t>
      </w:r>
      <w:r>
        <w:rPr>
          <w:lang w:eastAsia="zh-CN"/>
        </w:rPr>
        <w:t>疫苗</w:t>
      </w:r>
      <w:r>
        <w:rPr>
          <w:rFonts w:hint="eastAsia"/>
          <w:lang w:eastAsia="zh-CN"/>
        </w:rPr>
        <w:t>抗体交叉保护活性研究内容放在</w:t>
      </w:r>
      <w:r>
        <w:rPr>
          <w:lang w:eastAsia="zh-CN"/>
        </w:rPr>
        <w:t>4.2.1.1</w:t>
      </w:r>
      <w:r>
        <w:rPr>
          <w:rFonts w:hint="eastAsia"/>
          <w:lang w:eastAsia="zh-CN"/>
        </w:rPr>
        <w:t>主要药效学部分。</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3.4</w:t>
      </w:r>
      <w:r>
        <w:rPr>
          <w:rFonts w:hint="eastAsia"/>
          <w:lang w:eastAsia="zh-CN"/>
        </w:rPr>
        <w:t>临床</w:t>
      </w:r>
      <w:r>
        <w:rPr>
          <w:lang w:eastAsia="zh-CN"/>
        </w:rPr>
        <w:t>资料要求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3.4.1临床试验方案：对于申请减免临床试验的，应同时提交临床试验计划和方案。</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w:t>
      </w:r>
      <w:r>
        <w:rPr>
          <w:lang w:eastAsia="zh-CN"/>
        </w:rPr>
        <w:t>4.2</w:t>
      </w:r>
      <w:r>
        <w:rPr>
          <w:rFonts w:hint="eastAsia"/>
          <w:lang w:eastAsia="zh-CN"/>
        </w:rPr>
        <w:t>新药临床试验报告主文件应按照</w:t>
      </w:r>
      <w:r>
        <w:rPr>
          <w:lang w:eastAsia="zh-CN"/>
        </w:rPr>
        <w:t>ICH</w:t>
      </w:r>
      <w:r>
        <w:rPr>
          <w:rFonts w:hint="eastAsia"/>
          <w:lang w:eastAsia="zh-CN"/>
        </w:rPr>
        <w:t>《</w:t>
      </w:r>
      <w:r>
        <w:rPr>
          <w:lang w:eastAsia="zh-CN"/>
        </w:rPr>
        <w:t>E3</w:t>
      </w:r>
      <w:r>
        <w:rPr>
          <w:rFonts w:hint="eastAsia"/>
          <w:lang w:eastAsia="zh-CN"/>
        </w:rPr>
        <w:t>：临床研究报告的结构与内容》相关要求逐项提交，报告封面应符合</w:t>
      </w:r>
      <w:r>
        <w:rPr>
          <w:lang w:eastAsia="zh-CN"/>
        </w:rPr>
        <w:t>ICH E3</w:t>
      </w:r>
      <w:r>
        <w:rPr>
          <w:rFonts w:hint="eastAsia"/>
          <w:lang w:eastAsia="zh-CN"/>
        </w:rPr>
        <w:t>相关要求，加盖临床研究机构有效公章，印章应加盖在文字处。临床试验数据库资料参照相关要求执行。</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3.5其他</w:t>
      </w:r>
      <w:r>
        <w:rPr>
          <w:lang w:eastAsia="zh-CN"/>
        </w:rPr>
        <w:t>资料要求</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w:t>
      </w:r>
      <w:bookmarkStart w:id="16" w:name="_Toc36757019"/>
      <w:r>
        <w:rPr>
          <w:lang w:eastAsia="zh-CN"/>
        </w:rPr>
        <w:t>5.1</w:t>
      </w:r>
      <w:r>
        <w:rPr>
          <w:rFonts w:hint="eastAsia"/>
          <w:lang w:eastAsia="zh-CN"/>
        </w:rPr>
        <w:t>拟使用的药品通用名称，未列入国家药品标准或者药品注册标准的，应当在提出药品上市许可申请时同时提出通用名称核准申请，并提交通用名称核准相关资料，单独成袋。</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w:t>
      </w:r>
      <w:r>
        <w:rPr>
          <w:lang w:eastAsia="zh-CN"/>
        </w:rPr>
        <w:t>5.2</w:t>
      </w:r>
      <w:r>
        <w:rPr>
          <w:rFonts w:hint="eastAsia"/>
          <w:lang w:eastAsia="zh-CN"/>
        </w:rPr>
        <w:t>拟申报注册的药械组合产品，已有同类产品经属性界定为药品的，按照药品进行申报；尚未经属性界定的，申请人应当在申报注册前向国家药品监督管理局申请产品属性界定。属性界定为药品为主的，按照《药品注册管理办法》规定的程序进行注册，其中医疗器械部分参照医疗器械注册申报资料要求提交，单独成袋。</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w:t>
      </w:r>
      <w:r>
        <w:rPr>
          <w:lang w:eastAsia="zh-CN"/>
        </w:rPr>
        <w:t>5.3</w:t>
      </w:r>
      <w:r>
        <w:rPr>
          <w:rFonts w:hint="eastAsia"/>
          <w:lang w:eastAsia="zh-CN"/>
        </w:rPr>
        <w:t>申请人撤回注册申请后重新申报的，应对重新开展或者补充完善的相关情况进行详细说明。</w:t>
      </w:r>
    </w:p>
    <w:p>
      <w:pPr>
        <w:keepNext w:val="0"/>
        <w:keepLines w:val="0"/>
        <w:pageBreakBefore w:val="0"/>
        <w:widowControl w:val="0"/>
        <w:kinsoku/>
        <w:wordWrap/>
        <w:topLinePunct w:val="0"/>
        <w:autoSpaceDE/>
        <w:autoSpaceDN/>
        <w:bidi w:val="0"/>
        <w:spacing w:line="540" w:lineRule="exact"/>
        <w:ind w:firstLine="640"/>
        <w:textAlignment w:val="auto"/>
        <w:rPr>
          <w:rFonts w:ascii="楷体_GB2312" w:eastAsia="楷体_GB2312"/>
          <w:lang w:eastAsia="zh-CN"/>
        </w:rPr>
      </w:pPr>
      <w:r>
        <w:rPr>
          <w:rFonts w:hint="eastAsia" w:ascii="楷体_GB2312" w:eastAsia="楷体_GB2312"/>
          <w:lang w:eastAsia="zh-CN"/>
        </w:rPr>
        <w:t>（五）其他提示</w:t>
      </w:r>
      <w:bookmarkEnd w:id="16"/>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1</w:t>
      </w:r>
      <w:r>
        <w:rPr>
          <w:rFonts w:hint="eastAsia"/>
          <w:lang w:eastAsia="zh-CN"/>
        </w:rPr>
        <w:t>．上市申请时，如临床</w:t>
      </w:r>
      <w:r>
        <w:rPr>
          <w:lang w:eastAsia="zh-CN"/>
        </w:rPr>
        <w:t>试验</w:t>
      </w:r>
      <w:r>
        <w:rPr>
          <w:rFonts w:hint="eastAsia"/>
          <w:lang w:eastAsia="zh-CN"/>
        </w:rPr>
        <w:t>总结报告起始日期无法证明获准临床试验之日起三年内实施的，应提交获准临床试验之日起三年内的首例受试者知情同意书。</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2．关于取消证明事项的公告中规定的“改为内部核查”的证明事项，按公告要求执行。</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rFonts w:hint="eastAsia"/>
          <w:lang w:eastAsia="zh-CN"/>
        </w:rPr>
        <w:t>3．境外生产的疫苗所提交的境外药品管理机构出具的证明文件（包括允许疫苗上市销售证明文件（如有）、符合药品生产质量管理规范证明文件以及允许药品变更证明文件等），为符合世界卫生组织推荐的统一格式原件的，可不经所在国公证机构公证及驻所在国中国使领馆认证。</w:t>
      </w:r>
    </w:p>
    <w:p>
      <w:pPr>
        <w:keepNext w:val="0"/>
        <w:keepLines w:val="0"/>
        <w:pageBreakBefore w:val="0"/>
        <w:widowControl w:val="0"/>
        <w:kinsoku/>
        <w:wordWrap/>
        <w:topLinePunct w:val="0"/>
        <w:autoSpaceDE/>
        <w:autoSpaceDN/>
        <w:bidi w:val="0"/>
        <w:spacing w:line="540" w:lineRule="exact"/>
        <w:ind w:firstLine="640"/>
        <w:textAlignment w:val="auto"/>
        <w:rPr>
          <w:lang w:eastAsia="zh-CN"/>
        </w:rPr>
      </w:pPr>
      <w:r>
        <w:rPr>
          <w:lang w:eastAsia="zh-CN"/>
        </w:rPr>
        <w:t>4</w:t>
      </w:r>
      <w:r>
        <w:rPr>
          <w:rFonts w:hint="eastAsia"/>
          <w:lang w:eastAsia="zh-CN"/>
        </w:rPr>
        <w:t>．申请人应当在三十日内完成补正资料，申请人无正当理由逾期不予补正的，视为放弃申请。</w:t>
      </w:r>
    </w:p>
    <w:bookmarkEnd w:id="15"/>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黑体" w:hAnsi="黑体" w:eastAsia="黑体"/>
          <w:lang w:eastAsia="zh-CN"/>
        </w:rPr>
      </w:pPr>
      <w:bookmarkStart w:id="17" w:name="_Toc33798938"/>
      <w:r>
        <w:rPr>
          <w:rFonts w:hint="eastAsia" w:ascii="黑体" w:hAnsi="黑体" w:eastAsia="黑体"/>
          <w:lang w:eastAsia="zh-CN"/>
        </w:rPr>
        <w:t>五、受理审查决定</w:t>
      </w:r>
      <w:bookmarkEnd w:id="17"/>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楷体_GB2312" w:eastAsia="楷体_GB2312"/>
          <w:lang w:eastAsia="zh-CN"/>
        </w:rPr>
      </w:pPr>
      <w:bookmarkStart w:id="18" w:name="_Toc33798939"/>
      <w:r>
        <w:rPr>
          <w:rFonts w:hint="eastAsia" w:ascii="楷体_GB2312" w:eastAsia="楷体_GB2312"/>
          <w:lang w:eastAsia="zh-CN"/>
        </w:rPr>
        <w:t>（一）受理</w:t>
      </w:r>
      <w:bookmarkEnd w:id="18"/>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lang w:eastAsia="zh-CN"/>
        </w:rPr>
        <w:t>1</w:t>
      </w:r>
      <w:r>
        <w:rPr>
          <w:rFonts w:hint="eastAsia"/>
          <w:lang w:eastAsia="zh-CN"/>
        </w:rPr>
        <w:t>．受理通知单：符合形式审查要求的，出具《受理通知书》一式两份，一份给申请人，一份存入资料。</w:t>
      </w:r>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lang w:eastAsia="zh-CN"/>
        </w:rPr>
        <w:t>2</w:t>
      </w:r>
      <w:r>
        <w:rPr>
          <w:rFonts w:hint="eastAsia"/>
          <w:lang w:eastAsia="zh-CN"/>
        </w:rPr>
        <w:t>．缴费通知书：需要缴费。</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lang w:eastAsia="zh-CN"/>
        </w:rPr>
      </w:pPr>
      <w:bookmarkStart w:id="19" w:name="_Toc33798940"/>
      <w:r>
        <w:rPr>
          <w:rFonts w:hint="eastAsia"/>
          <w:lang w:eastAsia="zh-CN"/>
        </w:rPr>
        <w:t>依照《关于发布药品、医疗器械产品注册收费标准的公告（2015年第53号）》、《关于化学药品新注册分类收费标准有关事宜的通告》（2016年第124号）及《化学药品注册分类改革工作方案》政策解读（二）等文件要求缴费。</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楷体_GB2312" w:hAnsi="黑体" w:eastAsia="楷体_GB2312"/>
          <w:lang w:eastAsia="zh-CN"/>
        </w:rPr>
      </w:pPr>
      <w:r>
        <w:rPr>
          <w:rFonts w:hint="eastAsia" w:ascii="楷体_GB2312" w:hAnsi="黑体" w:eastAsia="楷体_GB2312"/>
          <w:lang w:eastAsia="zh-CN"/>
        </w:rPr>
        <w:t>（二）补正</w:t>
      </w:r>
      <w:bookmarkEnd w:id="19"/>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rFonts w:hint="eastAsia"/>
          <w:lang w:eastAsia="zh-CN"/>
        </w:rPr>
        <w:t>申报资料不齐全或者不符合法定形式的，应一次告知申请人需要补正的全部内容，出具《补正通知书》。</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楷体_GB2312" w:hAnsi="黑体" w:eastAsia="楷体_GB2312"/>
          <w:lang w:eastAsia="zh-CN"/>
        </w:rPr>
      </w:pPr>
      <w:bookmarkStart w:id="20" w:name="_Toc33798941"/>
      <w:r>
        <w:rPr>
          <w:rFonts w:hint="eastAsia" w:ascii="楷体_GB2312" w:hAnsi="黑体" w:eastAsia="楷体_GB2312"/>
          <w:lang w:eastAsia="zh-CN"/>
        </w:rPr>
        <w:t>（三）不予受理</w:t>
      </w:r>
      <w:bookmarkEnd w:id="20"/>
    </w:p>
    <w:p>
      <w:pPr>
        <w:keepNext w:val="0"/>
        <w:keepLines w:val="0"/>
        <w:pageBreakBefore w:val="0"/>
        <w:widowControl w:val="0"/>
        <w:kinsoku/>
        <w:wordWrap/>
        <w:overflowPunct w:val="0"/>
        <w:topLinePunct w:val="0"/>
        <w:autoSpaceDE/>
        <w:autoSpaceDN/>
        <w:bidi w:val="0"/>
        <w:spacing w:line="540" w:lineRule="exact"/>
        <w:ind w:firstLine="640"/>
        <w:textAlignment w:val="auto"/>
        <w:rPr>
          <w:lang w:eastAsia="zh-CN"/>
        </w:rPr>
      </w:pPr>
      <w:r>
        <w:rPr>
          <w:rFonts w:hint="eastAsia"/>
          <w:lang w:eastAsia="zh-CN"/>
        </w:rPr>
        <w:t>不符合要求的，出具《不予受理通知书》，并说明理由。</w:t>
      </w:r>
    </w:p>
    <w:p>
      <w:pPr>
        <w:keepNext w:val="0"/>
        <w:keepLines w:val="0"/>
        <w:pageBreakBefore w:val="0"/>
        <w:widowControl w:val="0"/>
        <w:kinsoku/>
        <w:wordWrap/>
        <w:overflowPunct w:val="0"/>
        <w:topLinePunct w:val="0"/>
        <w:autoSpaceDE/>
        <w:autoSpaceDN/>
        <w:bidi w:val="0"/>
        <w:spacing w:line="540" w:lineRule="exact"/>
        <w:ind w:firstLine="640"/>
        <w:textAlignment w:val="auto"/>
        <w:outlineLvl w:val="3"/>
        <w:rPr>
          <w:rFonts w:ascii="楷体_GB2312" w:hAnsi="黑体" w:eastAsia="楷体_GB2312"/>
          <w:lang w:eastAsia="zh-CN"/>
        </w:rPr>
      </w:pPr>
      <w:r>
        <w:rPr>
          <w:rFonts w:hint="eastAsia" w:ascii="楷体_GB2312" w:hAnsi="黑体" w:eastAsia="楷体_GB2312"/>
          <w:lang w:eastAsia="zh-CN"/>
        </w:rPr>
        <w:t>(四)受理流程图</w:t>
      </w:r>
      <w:r>
        <w:rPr>
          <w:lang w:eastAsia="zh-CN"/>
        </w:rPr>
        <mc:AlternateContent>
          <mc:Choice Requires="wpg">
            <w:drawing>
              <wp:anchor distT="0" distB="0" distL="114300" distR="114300" simplePos="0" relativeHeight="251674624" behindDoc="0" locked="0" layoutInCell="1" allowOverlap="1">
                <wp:simplePos x="0" y="0"/>
                <wp:positionH relativeFrom="column">
                  <wp:posOffset>60325</wp:posOffset>
                </wp:positionH>
                <wp:positionV relativeFrom="paragraph">
                  <wp:posOffset>377190</wp:posOffset>
                </wp:positionV>
                <wp:extent cx="5271770" cy="6973570"/>
                <wp:effectExtent l="19050" t="0" r="24130" b="17780"/>
                <wp:wrapTopAndBottom/>
                <wp:docPr id="1" name="组合 1"/>
                <wp:cNvGraphicFramePr/>
                <a:graphic xmlns:a="http://schemas.openxmlformats.org/drawingml/2006/main">
                  <a:graphicData uri="http://schemas.microsoft.com/office/word/2010/wordprocessingGroup">
                    <wpg:wgp>
                      <wpg:cNvGrpSpPr/>
                      <wpg:grpSpPr>
                        <a:xfrm>
                          <a:off x="0" y="0"/>
                          <a:ext cx="5271770" cy="6973570"/>
                          <a:chOff x="0" y="0"/>
                          <a:chExt cx="5321300" cy="5320030"/>
                        </a:xfrm>
                      </wpg:grpSpPr>
                      <wpg:grpSp>
                        <wpg:cNvPr id="27" name="组合 27"/>
                        <wpg:cNvGrpSpPr/>
                        <wpg:grpSpPr>
                          <a:xfrm>
                            <a:off x="0" y="0"/>
                            <a:ext cx="5321300" cy="5320030"/>
                            <a:chOff x="0" y="0"/>
                            <a:chExt cx="5321349" cy="5320596"/>
                          </a:xfrm>
                        </wpg:grpSpPr>
                        <wps:wsp>
                          <wps:cNvPr id="14" name="矩形 1"/>
                          <wps:cNvSpPr>
                            <a:spLocks noChangeArrowheads="1"/>
                          </wps:cNvSpPr>
                          <wps:spPr bwMode="auto">
                            <a:xfrm>
                              <a:off x="633046" y="0"/>
                              <a:ext cx="1382395" cy="614680"/>
                            </a:xfrm>
                            <a:prstGeom prst="rect">
                              <a:avLst/>
                            </a:prstGeom>
                            <a:solidFill>
                              <a:srgbClr val="FFFFFF"/>
                            </a:solidFill>
                            <a:ln w="6350">
                              <a:solidFill>
                                <a:srgbClr val="000000"/>
                              </a:solidFill>
                              <a:miter lim="800000"/>
                            </a:ln>
                          </wps:spPr>
                          <wps:txbx>
                            <w:txbxContent>
                              <w:p>
                                <w:pPr>
                                  <w:spacing w:before="120" w:line="276" w:lineRule="auto"/>
                                  <w:ind w:firstLine="0" w:firstLineChars="0"/>
                                  <w:jc w:val="center"/>
                                  <w:rPr>
                                    <w:rFonts w:ascii="仿宋_GB2312"/>
                                    <w:sz w:val="24"/>
                                    <w:szCs w:val="24"/>
                                  </w:rPr>
                                </w:pPr>
                                <w:r>
                                  <w:rPr>
                                    <w:rFonts w:hint="eastAsia" w:ascii="仿宋_GB2312"/>
                                    <w:sz w:val="24"/>
                                    <w:szCs w:val="24"/>
                                  </w:rPr>
                                  <w:t>资料申报</w:t>
                                </w:r>
                              </w:p>
                            </w:txbxContent>
                          </wps:txbx>
                          <wps:bodyPr rot="0" vert="horz" wrap="square" lIns="91440" tIns="45720" rIns="91440" bIns="45720" anchor="ctr" anchorCtr="0" upright="1">
                            <a:noAutofit/>
                          </wps:bodyPr>
                        </wps:wsp>
                        <wps:wsp>
                          <wps:cNvPr id="16" name="流程图: 决策 3"/>
                          <wps:cNvSpPr>
                            <a:spLocks noChangeArrowheads="1"/>
                          </wps:cNvSpPr>
                          <wps:spPr bwMode="auto">
                            <a:xfrm>
                              <a:off x="0" y="1139484"/>
                              <a:ext cx="2703195" cy="1302312"/>
                            </a:xfrm>
                            <a:prstGeom prst="flowChartDecision">
                              <a:avLst/>
                            </a:prstGeom>
                            <a:solidFill>
                              <a:srgbClr val="FFFFFF"/>
                            </a:solidFill>
                            <a:ln w="6350">
                              <a:solidFill>
                                <a:srgbClr val="000000"/>
                              </a:solidFill>
                              <a:miter lim="800000"/>
                            </a:ln>
                          </wps:spPr>
                          <wps:txbx>
                            <w:txbxContent>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z w:val="24"/>
                                    <w:szCs w:val="24"/>
                                    <w:lang w:eastAsia="zh-CN"/>
                                  </w:rPr>
                                  <w:t>国家局药审中心</w:t>
                                </w:r>
                              </w:p>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napToGrid w:val="0"/>
                                    <w:sz w:val="24"/>
                                    <w:szCs w:val="24"/>
                                    <w:lang w:eastAsia="zh-CN"/>
                                  </w:rPr>
                                  <w:t>签收资料并进行形式审查</w:t>
                                </w:r>
                              </w:p>
                            </w:txbxContent>
                          </wps:txbx>
                          <wps:bodyPr rot="0" vert="horz" wrap="square" lIns="91440" tIns="45720" rIns="91440" bIns="45720" anchor="ctr" anchorCtr="0" upright="1">
                            <a:noAutofit/>
                          </wps:bodyPr>
                        </wps:wsp>
                        <wps:wsp>
                          <wps:cNvPr id="15" name="直接箭头连接符 5"/>
                          <wps:cNvCnPr>
                            <a:cxnSpLocks noChangeShapeType="1"/>
                          </wps:cNvCnPr>
                          <wps:spPr bwMode="auto">
                            <a:xfrm flipH="1">
                              <a:off x="1343465" y="647114"/>
                              <a:ext cx="0" cy="455295"/>
                            </a:xfrm>
                            <a:prstGeom prst="straightConnector1">
                              <a:avLst/>
                            </a:prstGeom>
                            <a:noFill/>
                            <a:ln w="19050">
                              <a:solidFill>
                                <a:srgbClr val="000000"/>
                              </a:solidFill>
                              <a:round/>
                              <a:tailEnd type="arrow" w="med" len="med"/>
                            </a:ln>
                          </wps:spPr>
                          <wps:bodyPr/>
                        </wps:wsp>
                        <wps:wsp>
                          <wps:cNvPr id="22" name="矩形 8"/>
                          <wps:cNvSpPr>
                            <a:spLocks noChangeArrowheads="1"/>
                          </wps:cNvSpPr>
                          <wps:spPr bwMode="auto">
                            <a:xfrm>
                              <a:off x="365763" y="3167522"/>
                              <a:ext cx="1981853" cy="725882"/>
                            </a:xfrm>
                            <a:prstGeom prst="rect">
                              <a:avLst/>
                            </a:prstGeom>
                            <a:solidFill>
                              <a:srgbClr val="FFFFFF"/>
                            </a:solidFill>
                            <a:ln w="6350">
                              <a:solidFill>
                                <a:srgbClr val="000000"/>
                              </a:solidFill>
                              <a:miter lim="800000"/>
                            </a:ln>
                          </wps:spPr>
                          <wps:txbx>
                            <w:txbxContent>
                              <w:p>
                                <w:pPr>
                                  <w:spacing w:line="240" w:lineRule="auto"/>
                                  <w:ind w:firstLine="0" w:firstLineChars="0"/>
                                  <w:rPr>
                                    <w:rFonts w:ascii="仿宋_GB2312"/>
                                    <w:sz w:val="24"/>
                                    <w:szCs w:val="24"/>
                                    <w:lang w:eastAsia="zh-CN"/>
                                  </w:rPr>
                                </w:pPr>
                                <w:r>
                                  <w:rPr>
                                    <w:rFonts w:hint="eastAsia" w:ascii="仿宋_GB2312"/>
                                    <w:sz w:val="24"/>
                                    <w:szCs w:val="24"/>
                                    <w:lang w:eastAsia="zh-CN"/>
                                  </w:rPr>
                                  <w:t>国家局药审中心出具《受理通知书》、《缴费通知书》等</w:t>
                                </w:r>
                              </w:p>
                            </w:txbxContent>
                          </wps:txbx>
                          <wps:bodyPr rot="0" vert="horz" wrap="square" lIns="91440" tIns="45720" rIns="91440" bIns="45720" anchor="ctr" anchorCtr="0" upright="1">
                            <a:noAutofit/>
                          </wps:bodyPr>
                        </wps:wsp>
                        <wps:wsp>
                          <wps:cNvPr id="23" name="直接箭头连接符 9"/>
                          <wps:cNvCnPr>
                            <a:cxnSpLocks noChangeShapeType="1"/>
                          </wps:cNvCnPr>
                          <wps:spPr bwMode="auto">
                            <a:xfrm flipH="1">
                              <a:off x="1350657" y="3899950"/>
                              <a:ext cx="0" cy="705560"/>
                            </a:xfrm>
                            <a:prstGeom prst="straightConnector1">
                              <a:avLst/>
                            </a:prstGeom>
                            <a:noFill/>
                            <a:ln w="19050">
                              <a:solidFill>
                                <a:srgbClr val="000000"/>
                              </a:solidFill>
                              <a:round/>
                              <a:tailEnd type="arrow" w="med" len="med"/>
                            </a:ln>
                          </wps:spPr>
                          <wps:bodyPr/>
                        </wps:wsp>
                        <wps:wsp>
                          <wps:cNvPr id="19" name="直接箭头连接符 11"/>
                          <wps:cNvCnPr>
                            <a:cxnSpLocks noChangeShapeType="1"/>
                          </wps:cNvCnPr>
                          <wps:spPr bwMode="auto">
                            <a:xfrm>
                              <a:off x="2694621" y="1785383"/>
                              <a:ext cx="1056640" cy="0"/>
                            </a:xfrm>
                            <a:prstGeom prst="straightConnector1">
                              <a:avLst/>
                            </a:prstGeom>
                            <a:noFill/>
                            <a:ln w="19050">
                              <a:solidFill>
                                <a:srgbClr val="000000"/>
                              </a:solidFill>
                              <a:round/>
                              <a:tailEnd type="arrow" w="med" len="med"/>
                            </a:ln>
                          </wps:spPr>
                          <wps:bodyPr/>
                        </wps:wsp>
                        <wps:wsp>
                          <wps:cNvPr id="18" name="矩形 13"/>
                          <wps:cNvSpPr>
                            <a:spLocks noChangeArrowheads="1"/>
                          </wps:cNvSpPr>
                          <wps:spPr bwMode="auto">
                            <a:xfrm>
                              <a:off x="3756074" y="1267959"/>
                              <a:ext cx="1565275" cy="1024255"/>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lang w:eastAsia="zh-CN"/>
                                  </w:rPr>
                                </w:pPr>
                                <w:r>
                                  <w:rPr>
                                    <w:rFonts w:hint="eastAsia" w:ascii="仿宋_GB2312"/>
                                    <w:sz w:val="24"/>
                                    <w:szCs w:val="24"/>
                                    <w:lang w:eastAsia="zh-CN"/>
                                  </w:rPr>
                                  <w:t>出具《补正通知书》或《不予受理通知书》并说明理由</w:t>
                                </w:r>
                              </w:p>
                            </w:txbxContent>
                          </wps:txbx>
                          <wps:bodyPr rot="0" vert="horz" wrap="square" lIns="91440" tIns="45720" rIns="91440" bIns="45720" anchor="ctr" anchorCtr="0" upright="1">
                            <a:noAutofit/>
                          </wps:bodyPr>
                        </wps:wsp>
                        <wps:wsp>
                          <wps:cNvPr id="25" name="流程图: 可选过程 14"/>
                          <wps:cNvSpPr>
                            <a:spLocks noChangeArrowheads="1"/>
                          </wps:cNvSpPr>
                          <wps:spPr bwMode="auto">
                            <a:xfrm>
                              <a:off x="552599" y="4637263"/>
                              <a:ext cx="1605930" cy="683333"/>
                            </a:xfrm>
                            <a:prstGeom prst="flowChartAlternateProcess">
                              <a:avLst/>
                            </a:prstGeom>
                            <a:solidFill>
                              <a:srgbClr val="FFFFFF"/>
                            </a:solidFill>
                            <a:ln w="6350">
                              <a:solidFill>
                                <a:srgbClr val="000000"/>
                              </a:solidFill>
                              <a:miter lim="800000"/>
                            </a:ln>
                          </wps:spPr>
                          <wps:txbx>
                            <w:txbxContent>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国家局药审</w:t>
                                </w:r>
                              </w:p>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中心技术审评</w:t>
                                </w:r>
                              </w:p>
                            </w:txbxContent>
                          </wps:txbx>
                          <wps:bodyPr rot="0" vert="horz" wrap="square" lIns="91440" tIns="45720" rIns="91440" bIns="45720" anchor="ctr" anchorCtr="0" upright="1">
                            <a:noAutofit/>
                          </wps:bodyPr>
                        </wps:wsp>
                        <wps:wsp>
                          <wps:cNvPr id="20" name="AutoShape 14"/>
                          <wps:cNvCnPr>
                            <a:cxnSpLocks noChangeShapeType="1"/>
                          </wps:cNvCnPr>
                          <wps:spPr bwMode="auto">
                            <a:xfrm flipH="1">
                              <a:off x="1350499" y="2447779"/>
                              <a:ext cx="0" cy="705485"/>
                            </a:xfrm>
                            <a:prstGeom prst="straightConnector1">
                              <a:avLst/>
                            </a:prstGeom>
                            <a:noFill/>
                            <a:ln w="19050">
                              <a:solidFill>
                                <a:srgbClr val="000000"/>
                              </a:solidFill>
                              <a:round/>
                              <a:tailEnd type="arrow" w="med" len="med"/>
                            </a:ln>
                          </wps:spPr>
                          <wps:bodyPr/>
                        </wps:wsp>
                      </wpg:grpSp>
                      <wps:wsp>
                        <wps:cNvPr id="17" name="矩形 12"/>
                        <wps:cNvSpPr>
                          <a:spLocks noChangeArrowheads="1"/>
                        </wps:cNvSpPr>
                        <wps:spPr bwMode="auto">
                          <a:xfrm>
                            <a:off x="2632710" y="1383227"/>
                            <a:ext cx="1056640" cy="342265"/>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wps:wsp>
                        <wps:cNvPr id="21" name="矩形 7"/>
                        <wps:cNvSpPr>
                          <a:spLocks noChangeArrowheads="1"/>
                        </wps:cNvSpPr>
                        <wps:spPr bwMode="auto">
                          <a:xfrm>
                            <a:off x="1383030" y="2583180"/>
                            <a:ext cx="1016000" cy="330200"/>
                          </a:xfrm>
                          <a:prstGeom prst="rect">
                            <a:avLst/>
                          </a:prstGeom>
                          <a:solidFill>
                            <a:srgbClr val="FFFFFF"/>
                          </a:solidFill>
                          <a:ln w="25400">
                            <a:solidFill>
                              <a:srgbClr val="FFFFFF"/>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wpg:wgp>
                  </a:graphicData>
                </a:graphic>
              </wp:anchor>
            </w:drawing>
          </mc:Choice>
          <mc:Fallback>
            <w:pict>
              <v:group id="_x0000_s1026" o:spid="_x0000_s1026" o:spt="203" style="position:absolute;left:0pt;margin-left:4.75pt;margin-top:29.7pt;height:549.1pt;width:415.1pt;mso-wrap-distance-bottom:0pt;mso-wrap-distance-top:0pt;z-index:251674624;mso-width-relative:page;mso-height-relative:page;" coordsize="5321300,5320030" o:gfxdata="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G&#10;t7w+2gAAAAkBAAAPAAAAAAAAAAEAIAAAACIAAABkcnMvZG93bnJldi54bWxQSwECFAAUAAAACACH&#10;TuJAlUpgIHkFAABPHwAADgAAAAAAAAABACAAAAApAQAAZHJzL2Uyb0RvYy54bWxQSwUGAAAAAAYA&#10;BgBZAQAAFAkAAAAA&#10;">
                <o:lock v:ext="edit" aspectratio="f"/>
                <v:group id="_x0000_s1026" o:spid="_x0000_s1026" o:spt="203" style="position:absolute;left:0;top:0;height:5320030;width:5321300;" coordsize="5321349,5320596"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rect id="矩形 1" o:spid="_x0000_s1026" o:spt="1" style="position:absolute;left:633046;top:0;height:614680;width:1382395;v-text-anchor:middle;" fillcolor="#FFFFFF" filled="t" stroked="t" coordsize="21600,21600" o:gfxdata="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SbfpS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spacing w:before="120" w:line="276" w:lineRule="auto"/>
                            <w:ind w:firstLine="0" w:firstLineChars="0"/>
                            <w:jc w:val="center"/>
                            <w:rPr>
                              <w:rFonts w:ascii="仿宋_GB2312"/>
                              <w:sz w:val="24"/>
                              <w:szCs w:val="24"/>
                            </w:rPr>
                          </w:pPr>
                          <w:r>
                            <w:rPr>
                              <w:rFonts w:hint="eastAsia" w:ascii="仿宋_GB2312"/>
                              <w:sz w:val="24"/>
                              <w:szCs w:val="24"/>
                            </w:rPr>
                            <w:t>资料申报</w:t>
                          </w:r>
                        </w:p>
                      </w:txbxContent>
                    </v:textbox>
                  </v:rect>
                  <v:shape id="流程图: 决策 3" o:spid="_x0000_s1026" o:spt="110" type="#_x0000_t110" style="position:absolute;left:0;top:1139484;height:1302312;width:2703195;v-text-anchor:middle;" fillcolor="#FFFFFF" filled="t" stroked="t" coordsize="21600,21600" o:gfxdata="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26A7sAAADb&#10;AAAADwAAAAAAAAABACAAAAAiAAAAZHJzL2Rvd25yZXYueG1sUEsBAhQAFAAAAAgAh07iQDMvBZ47&#10;AAAAOQAAABAAAAAAAAAAAQAgAAAACgEAAGRycy9zaGFwZXhtbC54bWxQSwUGAAAAAAYABgBbAQAA&#10;tAMAAAAA&#10;">
                    <v:fill on="t" focussize="0,0"/>
                    <v:stroke weight="0.5pt" color="#000000" miterlimit="8" joinstyle="miter"/>
                    <v:imagedata o:title=""/>
                    <o:lock v:ext="edit" aspectratio="f"/>
                    <v:textbox>
                      <w:txbxContent>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z w:val="24"/>
                              <w:szCs w:val="24"/>
                              <w:lang w:eastAsia="zh-CN"/>
                            </w:rPr>
                            <w:t>国家局药审中心</w:t>
                          </w:r>
                        </w:p>
                        <w:p>
                          <w:pPr>
                            <w:adjustRightInd w:val="0"/>
                            <w:snapToGrid w:val="0"/>
                            <w:spacing w:line="240" w:lineRule="auto"/>
                            <w:ind w:left="-211" w:leftChars="-66" w:right="-144" w:rightChars="-45" w:firstLine="120" w:firstLineChars="50"/>
                            <w:jc w:val="center"/>
                            <w:rPr>
                              <w:rFonts w:ascii="仿宋_GB2312"/>
                              <w:sz w:val="24"/>
                              <w:szCs w:val="24"/>
                              <w:lang w:eastAsia="zh-CN"/>
                            </w:rPr>
                          </w:pPr>
                          <w:r>
                            <w:rPr>
                              <w:rFonts w:hint="eastAsia" w:ascii="仿宋_GB2312"/>
                              <w:snapToGrid w:val="0"/>
                              <w:sz w:val="24"/>
                              <w:szCs w:val="24"/>
                              <w:lang w:eastAsia="zh-CN"/>
                            </w:rPr>
                            <w:t>签收资料并进行形式审查</w:t>
                          </w:r>
                        </w:p>
                      </w:txbxContent>
                    </v:textbox>
                  </v:shape>
                  <v:shape id="直接箭头连接符 5" o:spid="_x0000_s1026" o:spt="32" type="#_x0000_t32" style="position:absolute;left:1343465;top:647114;flip:x;height:455295;width:0;" filled="f" stroked="t" coordsize="21600,21600" o:gfxdata="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ESw6ugAAANsA&#10;AAAPAAAAAAAAAAEAIAAAACIAAABkcnMvZG93bnJldi54bWxQSwECFAAUAAAACACHTuJAMy8FnjsA&#10;AAA5AAAAEAAAAAAAAAABACAAAAAJAQAAZHJzL3NoYXBleG1sLnhtbFBLBQYAAAAABgAGAFsBAACz&#10;AwAAAAA=&#10;">
                    <v:fill on="f" focussize="0,0"/>
                    <v:stroke weight="1.5pt" color="#000000" joinstyle="round" endarrow="open"/>
                    <v:imagedata o:title=""/>
                    <o:lock v:ext="edit" aspectratio="f"/>
                  </v:shape>
                  <v:rect id="矩形 8" o:spid="_x0000_s1026" o:spt="1" style="position:absolute;left:365763;top:3167522;height:725882;width:1981853;v-text-anchor:middle;" fillcolor="#FFFFFF" filled="t" stroked="t" coordsize="21600,21600" o:gfxdata="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pSica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spacing w:line="240" w:lineRule="auto"/>
                            <w:ind w:firstLine="0" w:firstLineChars="0"/>
                            <w:rPr>
                              <w:rFonts w:ascii="仿宋_GB2312"/>
                              <w:sz w:val="24"/>
                              <w:szCs w:val="24"/>
                              <w:lang w:eastAsia="zh-CN"/>
                            </w:rPr>
                          </w:pPr>
                          <w:r>
                            <w:rPr>
                              <w:rFonts w:hint="eastAsia" w:ascii="仿宋_GB2312"/>
                              <w:sz w:val="24"/>
                              <w:szCs w:val="24"/>
                              <w:lang w:eastAsia="zh-CN"/>
                            </w:rPr>
                            <w:t>国家局药审中心出具《受理通知书》、《缴费通知书》等</w:t>
                          </w:r>
                        </w:p>
                      </w:txbxContent>
                    </v:textbox>
                  </v:rect>
                  <v:shape id="直接箭头连接符 9" o:spid="_x0000_s1026" o:spt="32" type="#_x0000_t32" style="position:absolute;left:1350657;top:3899950;flip:x;height:705560;width:0;" filled="f" stroked="t" coordsize="21600,21600" o:gfxdata="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Y22i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shape>
                  <v:shape id="直接箭头连接符 11" o:spid="_x0000_s1026" o:spt="32" type="#_x0000_t32" style="position:absolute;left:2694621;top:1785383;height:0;width:1056640;" filled="f" stroked="t" coordsize="21600,21600" o:gfxdata="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6P8JLsAAADb&#10;AAAADwAAAAAAAAABACAAAAAiAAAAZHJzL2Rvd25yZXYueG1sUEsBAhQAFAAAAAgAh07iQDMvBZ47&#10;AAAAOQAAABAAAAAAAAAAAQAgAAAACgEAAGRycy9zaGFwZXhtbC54bWxQSwUGAAAAAAYABgBbAQAA&#10;tAMAAAAA&#10;">
                    <v:fill on="f" focussize="0,0"/>
                    <v:stroke weight="1.5pt" color="#000000" joinstyle="round" endarrow="open"/>
                    <v:imagedata o:title=""/>
                    <o:lock v:ext="edit" aspectratio="f"/>
                  </v:shape>
                  <v:rect id="矩形 13" o:spid="_x0000_s1026" o:spt="1" style="position:absolute;left:3756074;top:1267959;height:1024255;width:1565275;v-text-anchor:middle;" fillcolor="#FFFFFF" filled="t" stroked="t" coordsize="21600,21600" o:gfxdata="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1nSRvQAA&#10;ANsAAAAPAAAAAAAAAAEAIAAAACIAAABkcnMvZG93bnJldi54bWxQSwECFAAUAAAACACHTuJAMy8F&#10;njsAAAA5AAAAEAAAAAAAAAABACAAAAAMAQAAZHJzL3NoYXBleG1sLnhtbFBLBQYAAAAABgAGAFsB&#10;AAC2Aw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lang w:eastAsia="zh-CN"/>
                            </w:rPr>
                          </w:pPr>
                          <w:r>
                            <w:rPr>
                              <w:rFonts w:hint="eastAsia" w:ascii="仿宋_GB2312"/>
                              <w:sz w:val="24"/>
                              <w:szCs w:val="24"/>
                              <w:lang w:eastAsia="zh-CN"/>
                            </w:rPr>
                            <w:t>出具《补正通知书》或《不予受理通知书》并说明理由</w:t>
                          </w:r>
                        </w:p>
                      </w:txbxContent>
                    </v:textbox>
                  </v:rect>
                  <v:shape id="流程图: 可选过程 14" o:spid="_x0000_s1026" o:spt="176" type="#_x0000_t176" style="position:absolute;left:552599;top:4637263;height:683333;width:1605930;v-text-anchor:middle;" fillcolor="#FFFFFF" filled="t" stroked="t" coordsize="21600,21600" o:gfxdata="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TZ0r4A&#10;AADbAAAADwAAAAAAAAABACAAAAAiAAAAZHJzL2Rvd25yZXYueG1sUEsBAhQAFAAAAAgAh07iQDMv&#10;BZ47AAAAOQAAABAAAAAAAAAAAQAgAAAADQEAAGRycy9zaGFwZXhtbC54bWxQSwUGAAAAAAYABgBb&#10;AQAAtwMAAAAA&#10;">
                    <v:fill on="t" focussize="0,0"/>
                    <v:stroke weight="0.5pt" color="#000000" miterlimit="8" joinstyle="miter"/>
                    <v:imagedata o:title=""/>
                    <o:lock v:ext="edit" aspectratio="f"/>
                    <v:textbox>
                      <w:txbxContent>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国家局药审</w:t>
                          </w:r>
                        </w:p>
                        <w:p>
                          <w:pPr>
                            <w:adjustRightInd w:val="0"/>
                            <w:snapToGrid w:val="0"/>
                            <w:spacing w:line="240" w:lineRule="auto"/>
                            <w:ind w:firstLine="0" w:firstLineChars="0"/>
                            <w:jc w:val="center"/>
                            <w:rPr>
                              <w:rFonts w:ascii="仿宋_GB2312"/>
                              <w:sz w:val="24"/>
                              <w:szCs w:val="24"/>
                              <w:lang w:eastAsia="zh-CN"/>
                            </w:rPr>
                          </w:pPr>
                          <w:r>
                            <w:rPr>
                              <w:rFonts w:hint="eastAsia" w:ascii="仿宋_GB2312"/>
                              <w:sz w:val="24"/>
                              <w:szCs w:val="24"/>
                              <w:lang w:eastAsia="zh-CN"/>
                            </w:rPr>
                            <w:t>中心技术审评</w:t>
                          </w:r>
                        </w:p>
                      </w:txbxContent>
                    </v:textbox>
                  </v:shape>
                  <v:shape id="AutoShape 14" o:spid="_x0000_s1026" o:spt="32" type="#_x0000_t32" style="position:absolute;left:1350499;top:2447779;flip:x;height:705485;width:0;" filled="f" stroked="t" coordsize="21600,21600" o:gfxdata="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kKRR+5AAAA2wAA&#10;AA8AAAAAAAAAAQAgAAAAIgAAAGRycy9kb3ducmV2LnhtbFBLAQIUABQAAAAIAIdO4kAzLwWeOwAA&#10;ADkAAAAQAAAAAAAAAAEAIAAAAAgBAABkcnMvc2hhcGV4bWwueG1sUEsFBgAAAAAGAAYAWwEAALID&#10;AAAAAA==&#10;">
                    <v:fill on="f" focussize="0,0"/>
                    <v:stroke weight="1.5pt" color="#000000" joinstyle="round" endarrow="open"/>
                    <v:imagedata o:title=""/>
                    <o:lock v:ext="edit" aspectratio="f"/>
                  </v:shape>
                </v:group>
                <v:rect id="矩形 12" o:spid="_x0000_s1026" o:spt="1" style="position:absolute;left:2632710;top:1383227;height:342265;width:1056640;v-text-anchor:middle;" fillcolor="#FFFFFF" filled="t" stroked="t" coordsize="21600,21600" o:gfxdata="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YCMLbsAAADb&#10;AAAADwAAAAAAAAABACAAAAAiAAAAZHJzL2Rvd25yZXYueG1sUEsBAhQAFAAAAAgAh07iQDMvBZ47&#10;AAAAOQAAABAAAAAAAAAAAQAgAAAACgEAAGRycy9zaGFwZXhtbC54bWxQSwUGAAAAAAYABgBbAQAA&#10;tAM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v:rect id="矩形 7" o:spid="_x0000_s1026" o:spt="1" style="position:absolute;left:1383030;top:2583180;height:330200;width:1016000;v-text-anchor:middle;" fillcolor="#FFFFFF" filled="t" stroked="t" coordsize="21600,21600" o:gfxdata="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SXt/vQAA&#10;ANsAAAAPAAAAAAAAAAEAIAAAACIAAABkcnMvZG93bnJldi54bWxQSwECFAAUAAAACACHTuJAMy8F&#10;njsAAAA5AAAAEAAAAAAAAAABACAAAAAMAQAAZHJzL3NoYXBleG1sLnhtbFBLBQYAAAAABgAGAFsB&#10;AAC2AwAAAAA=&#10;">
                  <v:fill on="t" focussize="0,0"/>
                  <v:stroke weight="2pt" color="#FFFFFF"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符合要求</w:t>
                        </w:r>
                      </w:p>
                    </w:txbxContent>
                  </v:textbox>
                </v:rect>
                <w10:wrap type="topAndBottom"/>
              </v:group>
            </w:pict>
          </mc:Fallback>
        </mc:AlternateContent>
      </w:r>
    </w:p>
    <w:p>
      <w:pPr>
        <w:widowControl w:val="0"/>
        <w:overflowPunct w:val="0"/>
        <w:spacing w:line="560" w:lineRule="exact"/>
        <w:ind w:firstLine="640"/>
        <w:outlineLvl w:val="2"/>
        <w:rPr>
          <w:rFonts w:ascii="黑体" w:hAnsi="黑体" w:eastAsia="黑体"/>
          <w:lang w:eastAsia="zh-CN"/>
        </w:rPr>
      </w:pPr>
      <w:bookmarkStart w:id="21" w:name="_Toc33798942"/>
      <w:r>
        <w:rPr>
          <w:rFonts w:hint="eastAsia" w:ascii="黑体" w:hAnsi="黑体" w:eastAsia="黑体"/>
          <w:lang w:eastAsia="zh-CN"/>
        </w:rPr>
        <w:t>六、其他</w:t>
      </w:r>
      <w:bookmarkEnd w:id="21"/>
    </w:p>
    <w:p>
      <w:pPr>
        <w:widowControl w:val="0"/>
        <w:spacing w:line="560" w:lineRule="exact"/>
        <w:ind w:firstLine="640"/>
        <w:rPr>
          <w:lang w:eastAsia="zh-CN"/>
        </w:rPr>
      </w:pPr>
      <w:r>
        <w:rPr>
          <w:rFonts w:hint="eastAsia"/>
          <w:lang w:eastAsia="zh-CN"/>
        </w:rPr>
        <w:t>其他未尽事宜请参照《药品</w:t>
      </w:r>
      <w:r>
        <w:rPr>
          <w:lang w:eastAsia="zh-CN"/>
        </w:rPr>
        <w:t>注册管理办法</w:t>
      </w:r>
      <w:r>
        <w:rPr>
          <w:rFonts w:hint="eastAsia"/>
          <w:lang w:eastAsia="zh-CN"/>
        </w:rPr>
        <w:t>》等现行的法律法规、技术指导原则有关要求执行。</w:t>
      </w:r>
    </w:p>
    <w:p>
      <w:pPr>
        <w:widowControl w:val="0"/>
        <w:overflowPunct w:val="0"/>
        <w:spacing w:line="560" w:lineRule="exact"/>
        <w:ind w:firstLine="640"/>
        <w:outlineLvl w:val="2"/>
        <w:rPr>
          <w:rFonts w:ascii="黑体" w:hAnsi="黑体" w:eastAsia="黑体"/>
          <w:lang w:eastAsia="zh-CN"/>
        </w:rPr>
      </w:pPr>
      <w:r>
        <w:rPr>
          <w:rFonts w:hint="eastAsia" w:ascii="黑体" w:hAnsi="黑体" w:eastAsia="黑体"/>
          <w:lang w:eastAsia="zh-CN"/>
        </w:rPr>
        <w:t>七、附件</w:t>
      </w:r>
    </w:p>
    <w:p>
      <w:pPr>
        <w:overflowPunct w:val="0"/>
        <w:spacing w:line="560" w:lineRule="exact"/>
        <w:ind w:firstLine="640"/>
        <w:rPr>
          <w:color w:val="auto"/>
          <w:lang w:eastAsia="zh-CN"/>
        </w:rPr>
      </w:pPr>
      <w:r>
        <w:rPr>
          <w:color w:val="auto"/>
          <w:lang w:eastAsia="zh-CN"/>
        </w:rPr>
        <w:t>1</w:t>
      </w:r>
      <w:r>
        <w:rPr>
          <w:rFonts w:hint="eastAsia"/>
          <w:color w:val="auto"/>
          <w:lang w:eastAsia="zh-CN"/>
        </w:rPr>
        <w:t>预防</w:t>
      </w:r>
      <w:r>
        <w:rPr>
          <w:color w:val="auto"/>
          <w:lang w:eastAsia="zh-CN"/>
        </w:rPr>
        <w:t>用生物制品</w:t>
      </w:r>
      <w:r>
        <w:rPr>
          <w:rFonts w:hint="eastAsia"/>
          <w:color w:val="auto"/>
          <w:lang w:eastAsia="zh-CN"/>
        </w:rPr>
        <w:t xml:space="preserve">申报资料自查审查表 </w:t>
      </w:r>
    </w:p>
    <w:p>
      <w:pPr>
        <w:overflowPunct w:val="0"/>
        <w:spacing w:line="560" w:lineRule="exact"/>
        <w:ind w:firstLine="640"/>
        <w:rPr>
          <w:color w:val="auto"/>
          <w:lang w:eastAsia="zh-CN"/>
        </w:rPr>
      </w:pPr>
      <w:r>
        <w:rPr>
          <w:rFonts w:hint="eastAsia"/>
          <w:color w:val="auto"/>
          <w:lang w:eastAsia="zh-CN"/>
        </w:rPr>
        <w:t>2参考目录</w:t>
      </w:r>
    </w:p>
    <w:p>
      <w:pPr>
        <w:spacing w:line="240" w:lineRule="auto"/>
        <w:ind w:firstLine="0" w:firstLineChars="0"/>
        <w:jc w:val="left"/>
        <w:rPr>
          <w:rFonts w:ascii="黑体" w:hAnsi="黑体" w:eastAsia="黑体" w:cs="黑体"/>
          <w:lang w:eastAsia="zh-CN"/>
        </w:rPr>
      </w:pPr>
      <w:r>
        <w:rPr>
          <w:rFonts w:ascii="黑体" w:hAnsi="黑体" w:eastAsia="黑体" w:cs="黑体"/>
          <w:lang w:eastAsia="zh-CN"/>
        </w:rPr>
        <w:br w:type="page"/>
      </w:r>
      <w:bookmarkStart w:id="23" w:name="_GoBack"/>
      <w:bookmarkEnd w:id="23"/>
    </w:p>
    <w:p>
      <w:pPr>
        <w:widowControl w:val="0"/>
        <w:overflowPunct w:val="0"/>
        <w:spacing w:line="560" w:lineRule="exact"/>
        <w:ind w:firstLine="0" w:firstLineChars="0"/>
        <w:rPr>
          <w:lang w:eastAsia="zh-CN"/>
        </w:rPr>
      </w:pPr>
      <w:r>
        <w:rPr>
          <w:rFonts w:hint="eastAsia" w:ascii="黑体" w:hAnsi="黑体" w:eastAsia="黑体" w:cs="黑体"/>
          <w:lang w:eastAsia="zh-CN"/>
        </w:rPr>
        <w:t>附1</w:t>
      </w:r>
    </w:p>
    <w:p>
      <w:pPr>
        <w:widowControl w:val="0"/>
        <w:tabs>
          <w:tab w:val="left" w:pos="420"/>
        </w:tabs>
        <w:overflowPunct w:val="0"/>
        <w:adjustRightInd w:val="0"/>
        <w:snapToGrid w:val="0"/>
        <w:spacing w:line="560" w:lineRule="exact"/>
        <w:ind w:firstLine="0" w:firstLineChars="0"/>
        <w:jc w:val="center"/>
        <w:outlineLvl w:val="1"/>
        <w:rPr>
          <w:rFonts w:ascii="方正小标宋简体" w:hAnsi="方正小标宋简体" w:eastAsia="方正小标宋简体" w:cs="方正小标宋简体"/>
          <w:sz w:val="44"/>
          <w:szCs w:val="44"/>
          <w:lang w:eastAsia="zh-CN"/>
        </w:rPr>
      </w:pPr>
      <w:bookmarkStart w:id="22" w:name="_Toc33798944"/>
      <w:r>
        <w:rPr>
          <w:rFonts w:hint="eastAsia" w:ascii="方正小标宋简体" w:hAnsi="方正小标宋简体" w:eastAsia="方正小标宋简体" w:cs="方正小标宋简体"/>
          <w:sz w:val="44"/>
          <w:szCs w:val="44"/>
          <w:lang w:eastAsia="zh-CN"/>
        </w:rPr>
        <w:t>预防用</w:t>
      </w:r>
      <w:r>
        <w:rPr>
          <w:rFonts w:ascii="方正小标宋简体" w:hAnsi="方正小标宋简体" w:eastAsia="方正小标宋简体" w:cs="方正小标宋简体"/>
          <w:sz w:val="44"/>
          <w:szCs w:val="44"/>
          <w:lang w:eastAsia="zh-CN"/>
        </w:rPr>
        <w:t>生物制品</w:t>
      </w:r>
      <w:r>
        <w:rPr>
          <w:rFonts w:hint="eastAsia" w:ascii="方正小标宋简体" w:hAnsi="方正小标宋简体" w:eastAsia="方正小标宋简体" w:cs="方正小标宋简体"/>
          <w:sz w:val="44"/>
          <w:szCs w:val="44"/>
          <w:lang w:eastAsia="zh-CN"/>
        </w:rPr>
        <w:t>注册申报资料自查表</w:t>
      </w:r>
      <w:bookmarkEnd w:id="22"/>
    </w:p>
    <w:tbl>
      <w:tblPr>
        <w:tblStyle w:val="41"/>
        <w:tblW w:w="8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371"/>
        <w:gridCol w:w="346"/>
        <w:gridCol w:w="260"/>
        <w:gridCol w:w="1300"/>
        <w:gridCol w:w="259"/>
        <w:gridCol w:w="877"/>
        <w:gridCol w:w="13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1696" w:type="dxa"/>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rPr>
            </w:pPr>
            <w:r>
              <w:rPr>
                <w:rFonts w:hint="eastAsia" w:ascii="仿宋_GB2312"/>
                <w:bCs/>
                <w:sz w:val="24"/>
                <w:szCs w:val="24"/>
              </w:rPr>
              <w:t>药品名称</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rPr>
            </w:pPr>
            <w:r>
              <w:rPr>
                <w:rFonts w:hint="eastAsia" w:ascii="仿宋_GB2312"/>
                <w:bCs/>
                <w:sz w:val="24"/>
                <w:szCs w:val="24"/>
              </w:rPr>
              <w:t>规格</w:t>
            </w:r>
          </w:p>
        </w:tc>
        <w:tc>
          <w:tcPr>
            <w:tcW w:w="2292" w:type="dxa"/>
            <w:gridSpan w:val="3"/>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1696" w:type="dxa"/>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rPr>
            </w:pPr>
            <w:r>
              <w:rPr>
                <w:rFonts w:hint="eastAsia" w:ascii="仿宋_GB2312"/>
                <w:bCs/>
                <w:sz w:val="24"/>
                <w:szCs w:val="24"/>
              </w:rPr>
              <w:t>申请事项</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lang w:eastAsia="zh-CN"/>
              </w:rPr>
            </w:pPr>
            <w:r>
              <w:rPr>
                <w:rFonts w:hint="eastAsia" w:ascii="仿宋_GB2312"/>
                <w:bCs/>
                <w:sz w:val="24"/>
                <w:szCs w:val="24"/>
                <w:lang w:eastAsia="zh-CN"/>
              </w:rPr>
              <w:t>□临床试验  □上市许可</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jc w:val="center"/>
              <w:rPr>
                <w:rFonts w:ascii="仿宋_GB2312"/>
                <w:bCs/>
                <w:sz w:val="24"/>
                <w:szCs w:val="24"/>
              </w:rPr>
            </w:pPr>
            <w:r>
              <w:rPr>
                <w:rFonts w:hint="eastAsia" w:ascii="仿宋_GB2312"/>
                <w:bCs/>
                <w:sz w:val="24"/>
                <w:szCs w:val="24"/>
              </w:rPr>
              <w:t>注册分类</w:t>
            </w:r>
          </w:p>
        </w:tc>
        <w:tc>
          <w:tcPr>
            <w:tcW w:w="2292" w:type="dxa"/>
            <w:gridSpan w:val="3"/>
            <w:tcBorders>
              <w:top w:val="single" w:color="auto" w:sz="4" w:space="0"/>
              <w:left w:val="single" w:color="auto" w:sz="4" w:space="0"/>
              <w:bottom w:val="single" w:color="auto" w:sz="4" w:space="0"/>
              <w:right w:val="single" w:color="auto" w:sz="4" w:space="0"/>
            </w:tcBorders>
            <w:vAlign w:val="center"/>
          </w:tcPr>
          <w:p>
            <w:pPr>
              <w:widowControl w:val="0"/>
              <w:overflowPunct w:val="0"/>
              <w:spacing w:line="560" w:lineRule="exact"/>
              <w:ind w:firstLine="0" w:firstLineChars="0"/>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1696" w:type="dxa"/>
            <w:vAlign w:val="center"/>
          </w:tcPr>
          <w:p>
            <w:pPr>
              <w:widowControl w:val="0"/>
              <w:overflowPunct w:val="0"/>
              <w:spacing w:line="560" w:lineRule="exact"/>
              <w:ind w:firstLine="0" w:firstLineChars="0"/>
              <w:jc w:val="center"/>
              <w:rPr>
                <w:rFonts w:ascii="仿宋_GB2312"/>
                <w:bCs/>
                <w:sz w:val="24"/>
                <w:szCs w:val="24"/>
                <w:lang w:eastAsia="zh-CN"/>
              </w:rPr>
            </w:pPr>
            <w:r>
              <w:rPr>
                <w:rFonts w:hint="eastAsia" w:ascii="仿宋_GB2312"/>
                <w:bCs/>
                <w:sz w:val="24"/>
                <w:szCs w:val="24"/>
                <w:lang w:eastAsia="zh-CN"/>
              </w:rPr>
              <w:t>加快上市注册程序</w:t>
            </w:r>
          </w:p>
        </w:tc>
        <w:tc>
          <w:tcPr>
            <w:tcW w:w="6828" w:type="dxa"/>
            <w:gridSpan w:val="8"/>
            <w:vAlign w:val="center"/>
          </w:tcPr>
          <w:p>
            <w:pPr>
              <w:widowControl w:val="0"/>
              <w:overflowPunct w:val="0"/>
              <w:spacing w:line="560" w:lineRule="exact"/>
              <w:ind w:firstLine="0" w:firstLineChars="0"/>
              <w:jc w:val="center"/>
              <w:rPr>
                <w:rFonts w:ascii="仿宋_GB2312"/>
                <w:bCs/>
                <w:sz w:val="24"/>
                <w:szCs w:val="24"/>
                <w:lang w:eastAsia="zh-CN"/>
              </w:rPr>
            </w:pPr>
            <w:r>
              <w:rPr>
                <w:rFonts w:hint="eastAsia" w:ascii="仿宋_GB2312"/>
                <w:bCs/>
                <w:sz w:val="24"/>
                <w:szCs w:val="24"/>
                <w:lang w:eastAsia="zh-CN"/>
              </w:rPr>
              <w:t>□附条件批准程序   □优先审评审批程序   □特别审批程序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1696" w:type="dxa"/>
            <w:vAlign w:val="center"/>
          </w:tcPr>
          <w:p>
            <w:pPr>
              <w:widowControl w:val="0"/>
              <w:overflowPunct w:val="0"/>
              <w:spacing w:line="560" w:lineRule="exact"/>
              <w:ind w:firstLine="0" w:firstLineChars="0"/>
              <w:jc w:val="center"/>
              <w:rPr>
                <w:rFonts w:ascii="仿宋_GB2312"/>
                <w:bCs/>
                <w:sz w:val="24"/>
                <w:szCs w:val="24"/>
                <w:lang w:eastAsia="zh-CN"/>
              </w:rPr>
            </w:pPr>
            <w:r>
              <w:rPr>
                <w:rFonts w:hint="eastAsia" w:ascii="仿宋_GB2312"/>
                <w:bCs/>
                <w:sz w:val="24"/>
                <w:szCs w:val="24"/>
                <w:lang w:eastAsia="zh-CN"/>
              </w:rPr>
              <w:t>申 请 人</w:t>
            </w:r>
          </w:p>
        </w:tc>
        <w:tc>
          <w:tcPr>
            <w:tcW w:w="6828" w:type="dxa"/>
            <w:gridSpan w:val="8"/>
            <w:vAlign w:val="center"/>
          </w:tcPr>
          <w:p>
            <w:pPr>
              <w:widowControl w:val="0"/>
              <w:overflowPunct w:val="0"/>
              <w:spacing w:line="560" w:lineRule="exact"/>
              <w:ind w:firstLine="0" w:firstLineChars="0"/>
              <w:jc w:val="center"/>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1696" w:type="dxa"/>
            <w:vAlign w:val="center"/>
          </w:tcPr>
          <w:p>
            <w:pPr>
              <w:widowControl w:val="0"/>
              <w:overflowPunct w:val="0"/>
              <w:spacing w:line="560" w:lineRule="exact"/>
              <w:ind w:firstLine="0" w:firstLineChars="0"/>
              <w:jc w:val="center"/>
              <w:rPr>
                <w:rFonts w:ascii="仿宋_GB2312"/>
                <w:bCs/>
                <w:sz w:val="24"/>
                <w:szCs w:val="24"/>
                <w:lang w:eastAsia="zh-CN"/>
              </w:rPr>
            </w:pPr>
            <w:r>
              <w:rPr>
                <w:rFonts w:hint="eastAsia" w:ascii="仿宋_GB2312"/>
                <w:bCs/>
                <w:sz w:val="24"/>
                <w:szCs w:val="24"/>
                <w:lang w:eastAsia="zh-CN"/>
              </w:rPr>
              <w:t>沟通交流编号</w:t>
            </w:r>
          </w:p>
        </w:tc>
        <w:tc>
          <w:tcPr>
            <w:tcW w:w="6828" w:type="dxa"/>
            <w:gridSpan w:val="8"/>
            <w:vAlign w:val="center"/>
          </w:tcPr>
          <w:p>
            <w:pPr>
              <w:widowControl w:val="0"/>
              <w:overflowPunct w:val="0"/>
              <w:spacing w:line="560" w:lineRule="exact"/>
              <w:ind w:firstLine="0" w:firstLineChars="0"/>
              <w:jc w:val="center"/>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524" w:type="dxa"/>
            <w:gridSpan w:val="9"/>
            <w:vAlign w:val="center"/>
          </w:tcPr>
          <w:p>
            <w:pPr>
              <w:widowControl w:val="0"/>
              <w:overflowPunct w:val="0"/>
              <w:spacing w:line="560" w:lineRule="exact"/>
              <w:ind w:firstLine="0" w:firstLineChars="0"/>
              <w:jc w:val="center"/>
              <w:rPr>
                <w:rFonts w:ascii="仿宋_GB2312"/>
                <w:bCs/>
                <w:sz w:val="24"/>
                <w:szCs w:val="24"/>
              </w:rPr>
            </w:pPr>
            <w:r>
              <w:rPr>
                <w:rFonts w:hint="eastAsia" w:ascii="仿宋_GB2312"/>
                <w:bCs/>
                <w:sz w:val="24"/>
                <w:szCs w:val="24"/>
              </w:rPr>
              <w:t>一、基本要求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1.1资料项目及目录是否按CTD要求提交</w:t>
            </w:r>
          </w:p>
        </w:tc>
        <w:tc>
          <w:tcPr>
            <w:tcW w:w="2165" w:type="dxa"/>
            <w:gridSpan w:val="4"/>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1.2《药品生产许可证》有相应生产范围</w:t>
            </w:r>
          </w:p>
        </w:tc>
        <w:tc>
          <w:tcPr>
            <w:tcW w:w="2165" w:type="dxa"/>
            <w:gridSpan w:val="4"/>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1.3申请事项是否符合要求</w:t>
            </w:r>
          </w:p>
        </w:tc>
        <w:tc>
          <w:tcPr>
            <w:tcW w:w="2165" w:type="dxa"/>
            <w:gridSpan w:val="4"/>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1.4是否按要求完成沟通交流并提供申报资料补充完善的情况说明。</w:t>
            </w:r>
          </w:p>
        </w:tc>
        <w:tc>
          <w:tcPr>
            <w:tcW w:w="2165" w:type="dxa"/>
            <w:gridSpan w:val="4"/>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□是</w:t>
            </w:r>
          </w:p>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□不适用</w:t>
            </w:r>
          </w:p>
        </w:tc>
        <w:tc>
          <w:tcPr>
            <w:tcW w:w="877" w:type="dxa"/>
            <w:vAlign w:val="center"/>
          </w:tcPr>
          <w:p>
            <w:pPr>
              <w:widowControl w:val="0"/>
              <w:overflowPunct w:val="0"/>
              <w:spacing w:line="560" w:lineRule="exact"/>
              <w:ind w:firstLine="0" w:firstLineChars="0"/>
              <w:jc w:val="left"/>
              <w:rPr>
                <w:rFonts w:ascii="仿宋_GB2312"/>
                <w:bCs/>
                <w:sz w:val="24"/>
                <w:szCs w:val="24"/>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1.5是否逐个封面加盖申请人或注册代理机构印章</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1.6是否按照填表说明要求填写申请表</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1.7申请表填报信息是否与申报资料中内容一致</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1.8申报资料是否符合《申报资料基本要求》</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1.9是否已向中检院或省、自治区、直辖市药品监督管理部门提出药品注册检验，并提交送检凭证复印件。</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1.10申请人提出药品上市许可申请时，是否声明完成了支持药品上市注册的药学、药理毒理学和药物临床试验等研究，确定质量标准，完成商业规模生产工艺验证，并做好接受药品注册核查检验的准备。</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4067"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1.11国家局其他相关规定不予受理的情形</w:t>
            </w:r>
          </w:p>
        </w:tc>
        <w:tc>
          <w:tcPr>
            <w:tcW w:w="2165" w:type="dxa"/>
            <w:gridSpan w:val="4"/>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□是</w:t>
            </w:r>
          </w:p>
        </w:tc>
        <w:tc>
          <w:tcPr>
            <w:tcW w:w="877"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□否</w:t>
            </w:r>
          </w:p>
        </w:tc>
        <w:tc>
          <w:tcPr>
            <w:tcW w:w="1415" w:type="dxa"/>
            <w:gridSpan w:val="2"/>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8524" w:type="dxa"/>
            <w:gridSpan w:val="9"/>
            <w:vAlign w:val="center"/>
          </w:tcPr>
          <w:p>
            <w:pPr>
              <w:widowControl w:val="0"/>
              <w:overflowPunct w:val="0"/>
              <w:spacing w:line="560" w:lineRule="exact"/>
              <w:ind w:firstLine="0" w:firstLineChars="0"/>
              <w:jc w:val="center"/>
              <w:rPr>
                <w:rFonts w:ascii="仿宋_GB2312"/>
                <w:bCs/>
                <w:sz w:val="24"/>
                <w:szCs w:val="24"/>
              </w:rPr>
            </w:pPr>
            <w:r>
              <w:rPr>
                <w:rFonts w:hint="eastAsia" w:ascii="仿宋_GB2312"/>
                <w:bCs/>
                <w:sz w:val="24"/>
                <w:szCs w:val="24"/>
                <w:lang w:eastAsia="zh-CN"/>
              </w:rPr>
              <w:t>二</w:t>
            </w:r>
            <w:r>
              <w:rPr>
                <w:rFonts w:hint="eastAsia" w:ascii="仿宋_GB2312"/>
                <w:bCs/>
                <w:sz w:val="24"/>
                <w:szCs w:val="24"/>
              </w:rPr>
              <w:t>、申报资料审查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8524" w:type="dxa"/>
            <w:gridSpan w:val="9"/>
            <w:vAlign w:val="center"/>
          </w:tcPr>
          <w:p>
            <w:pPr>
              <w:widowControl w:val="0"/>
              <w:spacing w:line="560" w:lineRule="exact"/>
              <w:ind w:firstLine="0" w:firstLineChars="0"/>
              <w:jc w:val="center"/>
              <w:rPr>
                <w:rFonts w:ascii="仿宋_GB2312"/>
                <w:bCs/>
                <w:sz w:val="24"/>
                <w:szCs w:val="24"/>
              </w:rPr>
            </w:pPr>
            <w:r>
              <w:rPr>
                <w:rFonts w:hint="eastAsia" w:ascii="仿宋_GB2312"/>
                <w:bCs/>
                <w:sz w:val="24"/>
                <w:szCs w:val="24"/>
              </w:rPr>
              <w:t>模块二、概要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2.1 通用技术文档目录（模块2～模块5）</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2.2 通用技术文档介绍</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2.3 药学研究信息汇总</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2.4 非临床概述</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2.5 临床概述</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2.6 非临床文字总结和汇总表</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413" w:type="dxa"/>
            <w:gridSpan w:val="3"/>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2.7 临床研究总结</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overflowPunct w:val="0"/>
              <w:spacing w:line="560" w:lineRule="exact"/>
              <w:ind w:firstLine="0" w:firstLineChars="0"/>
              <w:jc w:val="left"/>
              <w:rPr>
                <w:rFonts w:ascii="仿宋_GB2312"/>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8524" w:type="dxa"/>
            <w:gridSpan w:val="9"/>
            <w:vAlign w:val="center"/>
          </w:tcPr>
          <w:p>
            <w:pPr>
              <w:widowControl w:val="0"/>
              <w:spacing w:line="560" w:lineRule="exact"/>
              <w:ind w:firstLine="33" w:firstLineChars="14"/>
              <w:jc w:val="center"/>
              <w:rPr>
                <w:rFonts w:ascii="仿宋_GB2312"/>
                <w:sz w:val="24"/>
                <w:szCs w:val="24"/>
                <w:lang w:eastAsia="zh-CN"/>
              </w:rPr>
            </w:pPr>
            <w:r>
              <w:rPr>
                <w:rFonts w:hint="eastAsia" w:ascii="仿宋_GB2312"/>
                <w:sz w:val="24"/>
                <w:szCs w:val="24"/>
                <w:lang w:eastAsia="zh-CN"/>
              </w:rPr>
              <w:t>模块三、药学研究资料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3.1 模块3目录</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r>
              <w:rPr>
                <w:rFonts w:hint="eastAsia" w:ascii="仿宋_GB2312"/>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 主体数据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3.2.S原料药（原液）</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对于多价疫苗，各组分生产工艺和质量控制较为相似的，可在同一3.2.S章节中进行描述；差异较大的，可分别提供单独的3.2.S章节。</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当产品含有多种组分时（例如联合疫苗，或附带稀释剂），每个组分可分别提供完整的原液和/或制剂章节。</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bCs/>
                <w:sz w:val="24"/>
                <w:szCs w:val="24"/>
                <w:lang w:eastAsia="zh-CN"/>
              </w:rPr>
            </w:pPr>
          </w:p>
          <w:p>
            <w:pPr>
              <w:widowControl w:val="0"/>
              <w:spacing w:line="560" w:lineRule="exact"/>
              <w:ind w:firstLine="33" w:firstLineChars="14"/>
              <w:rPr>
                <w:rFonts w:ascii="仿宋_GB2312"/>
                <w:bCs/>
                <w:sz w:val="24"/>
                <w:szCs w:val="24"/>
                <w:lang w:eastAsia="zh-CN"/>
              </w:rPr>
            </w:pPr>
          </w:p>
          <w:p>
            <w:pPr>
              <w:widowControl w:val="0"/>
              <w:spacing w:line="560" w:lineRule="exact"/>
              <w:ind w:firstLine="33" w:firstLineChars="14"/>
              <w:rPr>
                <w:rFonts w:ascii="仿宋_GB2312"/>
                <w:bCs/>
                <w:sz w:val="24"/>
                <w:szCs w:val="24"/>
                <w:lang w:eastAsia="zh-CN"/>
              </w:rPr>
            </w:pP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3.2.S.1基本信息</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3.2.S.2生产</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关键原材料来源、佐剂来源、生产用毒种和生产用细胞基质来源等证明文件。</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对于涉及病毒毒种的疫苗申报资料，应提交生产用毒种资料。</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提供生产用毒种种子批和生产用细胞基质种子批中检院复核检定报告。</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提供目标病毒灭活验证资料工艺验证部分。</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3.2.S.3特性鉴定</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3.2.S.4质量控制</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3.2.S.5对照品</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3.2.S.6包装系统</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3.2.S.7稳定性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3.2.P制剂</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提供佐剂概述。</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3.2.P.1剂型及产品组成</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3.2.P.2产品开发</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3.2.P.3生产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3.2.P.4辅料的控制</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3.2.P.5制剂的质量控制</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3.2.P.6对照品</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3.2.P.7包装系统</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3.2.P.8稳定性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3.2.A 附件</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3.2.A.1设施和设备</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3.2.A.2外源因子的安全性评价</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应按照相关技术指南进行外源因子安全性系统分析。整体上，传统疫苗参照疫苗相关要求，重组疫苗可参照重组治疗性生物制品相关要求。如不适用应予以说明。</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非目标病毒的灭活和清除验证研究提供在外源因子安全性评价部分。</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bCs/>
                <w:sz w:val="24"/>
                <w:szCs w:val="24"/>
                <w:lang w:eastAsia="zh-CN"/>
              </w:rPr>
            </w:pPr>
          </w:p>
          <w:p>
            <w:pPr>
              <w:widowControl w:val="0"/>
              <w:spacing w:line="560" w:lineRule="exact"/>
              <w:ind w:firstLine="33" w:firstLineChars="14"/>
              <w:rPr>
                <w:rFonts w:ascii="仿宋_GB2312"/>
                <w:bCs/>
                <w:sz w:val="24"/>
                <w:szCs w:val="24"/>
                <w:lang w:eastAsia="zh-CN"/>
              </w:rPr>
            </w:pPr>
          </w:p>
          <w:p>
            <w:pPr>
              <w:widowControl w:val="0"/>
              <w:spacing w:line="560" w:lineRule="exact"/>
              <w:ind w:firstLine="33" w:firstLineChars="14"/>
              <w:rPr>
                <w:rFonts w:ascii="仿宋_GB2312"/>
                <w:bCs/>
                <w:sz w:val="24"/>
                <w:szCs w:val="24"/>
                <w:lang w:eastAsia="zh-CN"/>
              </w:rPr>
            </w:pP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3.2.A.3辅料</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提交完整的佐剂CMC信息，包括原材料、工艺、质量属性、检测方法、稳定性等。</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33" w:firstLineChars="14"/>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 区域性信息</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3.2.R.1工艺验证</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应提供工艺验证方案和报告。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3.2.R.2批记录</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临床试验申请时，提供代表临床试验用样品工艺的批生产、检验记录；上市申请时提供关键临床批和至少连续三批拟上市规模验证批的批生产、检验记录。提供上述批次的检验报告。</w:t>
            </w:r>
          </w:p>
        </w:tc>
        <w:tc>
          <w:tcPr>
            <w:tcW w:w="1560" w:type="dxa"/>
            <w:gridSpan w:val="2"/>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3.2.R.3分析方法验证报告</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提供分析方法验证报告，包含典型图谱。</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3.2.R.4稳定性图谱</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提供稳定性研究的典型图谱。</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3.2.R.5可比性方案（如适用）</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3.2.R.6其他</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8524" w:type="dxa"/>
            <w:gridSpan w:val="9"/>
            <w:vAlign w:val="center"/>
          </w:tcPr>
          <w:p>
            <w:pPr>
              <w:widowControl w:val="0"/>
              <w:spacing w:line="560" w:lineRule="exact"/>
              <w:ind w:firstLine="33" w:firstLineChars="14"/>
              <w:jc w:val="center"/>
              <w:rPr>
                <w:rFonts w:ascii="仿宋_GB2312"/>
                <w:sz w:val="24"/>
                <w:szCs w:val="24"/>
                <w:lang w:eastAsia="zh-CN"/>
              </w:rPr>
            </w:pPr>
            <w:r>
              <w:rPr>
                <w:rFonts w:hint="eastAsia" w:ascii="仿宋_GB2312"/>
                <w:sz w:val="24"/>
                <w:szCs w:val="24"/>
                <w:lang w:eastAsia="zh-CN"/>
              </w:rPr>
              <w:t>模块四、非临床试验报告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4.1 目录</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r>
              <w:rPr>
                <w:rFonts w:hint="eastAsia" w:ascii="仿宋_GB2312"/>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 试验报告</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对于佐剂，如有药代、毒理学研究按照ICH M4基本框架放在相应项下。</w:t>
            </w:r>
          </w:p>
        </w:tc>
        <w:tc>
          <w:tcPr>
            <w:tcW w:w="1560" w:type="dxa"/>
            <w:gridSpan w:val="2"/>
            <w:vAlign w:val="center"/>
          </w:tcPr>
          <w:p>
            <w:pPr>
              <w:widowControl w:val="0"/>
              <w:spacing w:line="560" w:lineRule="exact"/>
              <w:ind w:firstLine="33" w:firstLineChars="14"/>
              <w:rPr>
                <w:rFonts w:ascii="仿宋_GB2312"/>
                <w:sz w:val="24"/>
                <w:szCs w:val="24"/>
                <w:lang w:eastAsia="zh-CN"/>
              </w:rPr>
            </w:pPr>
          </w:p>
        </w:tc>
        <w:tc>
          <w:tcPr>
            <w:tcW w:w="1275" w:type="dxa"/>
            <w:gridSpan w:val="3"/>
            <w:vAlign w:val="center"/>
          </w:tcPr>
          <w:p>
            <w:pPr>
              <w:widowControl w:val="0"/>
              <w:spacing w:line="560" w:lineRule="exact"/>
              <w:ind w:firstLine="33" w:firstLineChars="14"/>
              <w:rPr>
                <w:rFonts w:ascii="仿宋_GB2312"/>
                <w:sz w:val="24"/>
                <w:szCs w:val="24"/>
                <w:lang w:eastAsia="zh-CN"/>
              </w:rPr>
            </w:pPr>
          </w:p>
        </w:tc>
        <w:tc>
          <w:tcPr>
            <w:tcW w:w="1276" w:type="dxa"/>
            <w:vAlign w:val="center"/>
          </w:tcPr>
          <w:p>
            <w:pPr>
              <w:widowControl w:val="0"/>
              <w:spacing w:line="560" w:lineRule="exact"/>
              <w:ind w:firstLine="33" w:firstLineChars="14"/>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4.2.1 药理学</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如未做需说明原因或依据。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4.2.1.1主要药效学</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使用佐剂类型、添加佐剂必要性及佐剂/抗原配比合理性、佐剂机制等研究内容放在主要药效学部分。</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多价/联合疫苗抗原配比合理性、抗体交叉保护活性研究内容放在主要药效学部分。</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p>
          <w:p>
            <w:pPr>
              <w:widowControl w:val="0"/>
              <w:spacing w:line="560" w:lineRule="exact"/>
              <w:ind w:firstLine="0" w:firstLineChars="0"/>
              <w:rPr>
                <w:rFonts w:ascii="仿宋_GB2312"/>
                <w:bCs/>
                <w:sz w:val="24"/>
                <w:szCs w:val="24"/>
                <w:lang w:eastAsia="zh-CN"/>
              </w:rPr>
            </w:pPr>
          </w:p>
          <w:p>
            <w:pPr>
              <w:widowControl w:val="0"/>
              <w:spacing w:line="560" w:lineRule="exact"/>
              <w:ind w:firstLine="0" w:firstLineChars="0"/>
              <w:rPr>
                <w:rFonts w:ascii="仿宋_GB2312"/>
                <w:bCs/>
                <w:sz w:val="24"/>
                <w:szCs w:val="24"/>
                <w:lang w:eastAsia="zh-CN"/>
              </w:rPr>
            </w:pP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4.2.1.2次要药效学</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4.2.1.3安全药理学</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4.2.1.4药效学药物相互作用</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 药代动力学</w:t>
            </w:r>
          </w:p>
          <w:p>
            <w:pPr>
              <w:widowControl w:val="0"/>
              <w:spacing w:line="560" w:lineRule="exact"/>
              <w:ind w:firstLine="0" w:firstLineChars="0"/>
              <w:rPr>
                <w:rFonts w:ascii="仿宋_GB2312"/>
                <w:sz w:val="24"/>
                <w:szCs w:val="24"/>
                <w:lang w:eastAsia="zh-CN"/>
              </w:rPr>
            </w:pPr>
            <w:r>
              <w:rPr>
                <w:rFonts w:hint="eastAsia" w:ascii="仿宋_GB2312"/>
                <w:sz w:val="24"/>
                <w:szCs w:val="24"/>
                <w:lang w:eastAsia="zh-CN"/>
              </w:rPr>
              <w:t>如未做需说明原因或依据。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4.2.2.1分析方法和验证报告（如有单独的报告）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4.2.2.2吸收</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4.2.2.3分布</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4.2.2.4代谢</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4.2.2.5排泄</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4.2.2.6药代动力学药物相互作用（非临床）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4.2.2.7其他药代动力学试验</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 毒理学</w:t>
            </w:r>
          </w:p>
          <w:p>
            <w:pPr>
              <w:widowControl w:val="0"/>
              <w:spacing w:line="560" w:lineRule="exact"/>
              <w:ind w:firstLine="0" w:firstLineChars="0"/>
              <w:rPr>
                <w:rFonts w:ascii="仿宋_GB2312"/>
                <w:sz w:val="24"/>
                <w:szCs w:val="24"/>
                <w:lang w:eastAsia="zh-CN"/>
              </w:rPr>
            </w:pPr>
            <w:r>
              <w:rPr>
                <w:rFonts w:hint="eastAsia" w:ascii="仿宋_GB2312"/>
                <w:sz w:val="24"/>
                <w:szCs w:val="24"/>
                <w:lang w:eastAsia="zh-CN"/>
              </w:rPr>
              <w:t>如未做需说明原因或依据。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4.2.3.1单次给药毒性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4.2.3.2重复给药毒性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4.2.3.3遗传毒性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4.2.3.4致癌性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4.2.3.5生殖毒性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4.2.3.6局部耐受性</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4.2.3.7其他毒性研究（如有）</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除常规安全性研究外，其他安全性研究可放在此部分。</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4.3 参考文献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8524" w:type="dxa"/>
            <w:gridSpan w:val="9"/>
            <w:vAlign w:val="center"/>
          </w:tcPr>
          <w:p>
            <w:pPr>
              <w:widowControl w:val="0"/>
              <w:spacing w:line="560" w:lineRule="exact"/>
              <w:ind w:firstLine="33" w:firstLineChars="14"/>
              <w:jc w:val="center"/>
              <w:rPr>
                <w:rFonts w:ascii="仿宋_GB2312"/>
                <w:sz w:val="24"/>
                <w:szCs w:val="24"/>
                <w:lang w:eastAsia="zh-CN"/>
              </w:rPr>
            </w:pPr>
            <w:r>
              <w:rPr>
                <w:rFonts w:hint="eastAsia" w:ascii="仿宋_GB2312"/>
                <w:sz w:val="24"/>
                <w:szCs w:val="24"/>
                <w:lang w:eastAsia="zh-CN"/>
              </w:rPr>
              <w:t>模块五、临床研究报告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5.1 模块5的目录表</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r>
              <w:rPr>
                <w:rFonts w:hint="eastAsia" w:ascii="仿宋_GB2312"/>
                <w:sz w:val="24"/>
                <w:szCs w:val="24"/>
                <w:lang w:eastAsia="zh-CN"/>
              </w:rPr>
              <w:t>备注/袋次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5.2 所有临床研究的列表</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境外申请人申请在境内开展未成年人用疫苗临床试验的，应当至少取得境外含目标人群的I期临床试验数据。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bCs/>
                <w:sz w:val="24"/>
                <w:szCs w:val="24"/>
                <w:lang w:eastAsia="zh-CN"/>
              </w:rPr>
            </w:pP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临床试验报告封面是否符合要求，盖章是否符合要求。</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临床试验报告的结构和内容应符合ICH E3的要求。</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1.标题页，2.概要，3.临床研究报告目录，4.缩略语和术语定义表，5.伦理学，6.研究者和研究管理机构，7.简介，8.研究目标，9.研究计划，10.研究受试者，11.疗效评估，12.安全性评价，13.讨论和总结结论，14.正文引用但未纳入报告的表格、图标和图表等，15.参考文献列表，16.附录</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16.1 研究信息</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16.2. 受试者数据列表</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16.3 病例报告表（如适用）</w:t>
            </w:r>
          </w:p>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“试验用药物检验报告书及试验用药物试制记录（包括安慰剂）”应归入“E3：9.4.2 研究性产品的标识”的要求，具体资料在“16.附录”的“16.1.6如使用1批以上药物，接受特定批次试验药品/研究性产品的患者列表”中提交。</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p>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bCs/>
                <w:sz w:val="24"/>
                <w:szCs w:val="24"/>
                <w:lang w:eastAsia="zh-CN"/>
              </w:rPr>
            </w:pPr>
          </w:p>
          <w:p>
            <w:pPr>
              <w:widowControl w:val="0"/>
              <w:spacing w:line="560" w:lineRule="exact"/>
              <w:ind w:firstLine="0" w:firstLineChars="0"/>
              <w:jc w:val="center"/>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jc w:val="center"/>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5.3.1 生物制药研究报告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5.3.2 采用人体生物材料的药代动力学相关研究报告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5.3.3 人体药代动力学（PK）研究报告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5.3.4 人体药效学（PD）研究报告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5.3.5 有效性和安全性研究报告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5.3.6 上市后经验报告</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5.3.7 病例报告表和个体患者列表</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413" w:type="dxa"/>
            <w:gridSpan w:val="3"/>
            <w:vAlign w:val="center"/>
          </w:tcPr>
          <w:p>
            <w:pPr>
              <w:widowControl w:val="0"/>
              <w:spacing w:line="560" w:lineRule="exact"/>
              <w:ind w:firstLine="33" w:firstLineChars="14"/>
              <w:rPr>
                <w:rFonts w:ascii="仿宋_GB2312"/>
                <w:sz w:val="24"/>
                <w:szCs w:val="24"/>
                <w:lang w:eastAsia="zh-CN"/>
              </w:rPr>
            </w:pPr>
            <w:r>
              <w:rPr>
                <w:rFonts w:hint="eastAsia" w:ascii="仿宋_GB2312"/>
                <w:sz w:val="24"/>
                <w:szCs w:val="24"/>
                <w:lang w:eastAsia="zh-CN"/>
              </w:rPr>
              <w:t>5.4 参考文献</w:t>
            </w:r>
          </w:p>
        </w:tc>
        <w:tc>
          <w:tcPr>
            <w:tcW w:w="1560" w:type="dxa"/>
            <w:gridSpan w:val="2"/>
            <w:vAlign w:val="center"/>
          </w:tcPr>
          <w:p>
            <w:pPr>
              <w:widowControl w:val="0"/>
              <w:overflowPunct w:val="0"/>
              <w:spacing w:line="560" w:lineRule="exact"/>
              <w:ind w:firstLine="0" w:firstLineChars="0"/>
              <w:jc w:val="left"/>
              <w:rPr>
                <w:rFonts w:ascii="仿宋_GB2312"/>
                <w:bCs/>
                <w:sz w:val="24"/>
                <w:szCs w:val="24"/>
                <w:lang w:eastAsia="zh-CN"/>
              </w:rPr>
            </w:pPr>
            <w:r>
              <w:rPr>
                <w:rFonts w:hint="eastAsia" w:ascii="仿宋_GB2312"/>
                <w:bCs/>
                <w:sz w:val="24"/>
                <w:szCs w:val="24"/>
                <w:lang w:eastAsia="zh-CN"/>
              </w:rPr>
              <w:t>□有</w:t>
            </w:r>
          </w:p>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□不适用</w:t>
            </w:r>
          </w:p>
        </w:tc>
        <w:tc>
          <w:tcPr>
            <w:tcW w:w="1275" w:type="dxa"/>
            <w:gridSpan w:val="3"/>
          </w:tcPr>
          <w:p>
            <w:pPr>
              <w:widowControl w:val="0"/>
              <w:spacing w:line="560" w:lineRule="exact"/>
              <w:ind w:firstLine="0" w:firstLineChars="0"/>
              <w:rPr>
                <w:rFonts w:ascii="仿宋_GB2312"/>
                <w:sz w:val="24"/>
                <w:szCs w:val="24"/>
                <w:lang w:eastAsia="zh-CN"/>
              </w:rPr>
            </w:pPr>
            <w:r>
              <w:rPr>
                <w:rFonts w:hint="eastAsia" w:ascii="仿宋_GB2312"/>
                <w:bCs/>
                <w:sz w:val="24"/>
                <w:szCs w:val="24"/>
                <w:lang w:eastAsia="zh-CN"/>
              </w:rPr>
              <w:t>□无</w:t>
            </w:r>
          </w:p>
        </w:tc>
        <w:tc>
          <w:tcPr>
            <w:tcW w:w="1276" w:type="dxa"/>
            <w:vAlign w:val="center"/>
          </w:tcPr>
          <w:p>
            <w:pPr>
              <w:widowControl w:val="0"/>
              <w:spacing w:line="560" w:lineRule="exact"/>
              <w:ind w:firstLine="0" w:firstLineChars="0"/>
              <w:rPr>
                <w:rFonts w:ascii="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trPr>
        <w:tc>
          <w:tcPr>
            <w:tcW w:w="8524" w:type="dxa"/>
            <w:gridSpan w:val="9"/>
            <w:tcBorders>
              <w:left w:val="single" w:color="auto" w:sz="4" w:space="0"/>
              <w:bottom w:val="single" w:color="000000" w:sz="4" w:space="0"/>
              <w:right w:val="single" w:color="000000" w:sz="4" w:space="0"/>
            </w:tcBorders>
            <w:vAlign w:val="center"/>
          </w:tcPr>
          <w:p>
            <w:pPr>
              <w:widowControl w:val="0"/>
              <w:spacing w:line="580" w:lineRule="exact"/>
              <w:ind w:firstLine="39" w:firstLineChars="14"/>
              <w:jc w:val="center"/>
              <w:rPr>
                <w:rFonts w:ascii="仿宋_GB2312" w:hAnsi="黑体"/>
                <w:bCs/>
                <w:color w:val="auto"/>
                <w:sz w:val="28"/>
                <w:szCs w:val="24"/>
                <w:lang w:eastAsia="zh-CN"/>
              </w:rPr>
            </w:pPr>
            <w:r>
              <w:rPr>
                <w:rFonts w:hint="eastAsia" w:ascii="仿宋_GB2312" w:hAnsi="黑体"/>
                <w:bCs/>
                <w:color w:val="auto"/>
                <w:sz w:val="28"/>
                <w:szCs w:val="24"/>
                <w:lang w:eastAsia="zh-CN"/>
              </w:rPr>
              <w:t>三、申请材料真实性承诺</w:t>
            </w:r>
          </w:p>
          <w:p>
            <w:pPr>
              <w:widowControl w:val="0"/>
              <w:spacing w:line="580" w:lineRule="exact"/>
              <w:ind w:firstLine="33" w:firstLineChars="14"/>
              <w:rPr>
                <w:rFonts w:ascii="仿宋_GB2312"/>
                <w:sz w:val="24"/>
                <w:szCs w:val="24"/>
                <w:lang w:eastAsia="zh-CN"/>
              </w:rPr>
            </w:pPr>
            <w:r>
              <w:rPr>
                <w:rFonts w:hint="eastAsia" w:ascii="仿宋_GB2312"/>
                <w:sz w:val="24"/>
                <w:szCs w:val="24"/>
                <w:lang w:eastAsia="zh-CN"/>
              </w:rPr>
              <w:t>1、本申请遵守国家相关法律、法规和规章的规定。</w:t>
            </w:r>
          </w:p>
          <w:p>
            <w:pPr>
              <w:widowControl w:val="0"/>
              <w:spacing w:line="580" w:lineRule="exact"/>
              <w:ind w:firstLine="33" w:firstLineChars="14"/>
              <w:rPr>
                <w:rFonts w:hint="eastAsia" w:ascii="仿宋_GB2312" w:eastAsia="仿宋_GB2312"/>
                <w:sz w:val="24"/>
                <w:szCs w:val="24"/>
                <w:lang w:val="en-US" w:eastAsia="zh-CN"/>
              </w:rPr>
            </w:pPr>
            <w:r>
              <w:rPr>
                <w:rFonts w:hint="eastAsia" w:ascii="仿宋_GB2312"/>
                <w:sz w:val="24"/>
                <w:szCs w:val="24"/>
                <w:lang w:eastAsia="zh-CN"/>
              </w:rPr>
              <w:t>2、本自查表及所提交的申报资料均真实、来源合法、译文准确。申请人对研究数据和结论的真实性、可靠性负责。</w:t>
            </w:r>
          </w:p>
          <w:p>
            <w:pPr>
              <w:widowControl w:val="0"/>
              <w:spacing w:line="580" w:lineRule="exact"/>
              <w:ind w:firstLine="33" w:firstLineChars="14"/>
              <w:rPr>
                <w:rFonts w:ascii="仿宋_GB2312"/>
                <w:sz w:val="24"/>
                <w:szCs w:val="24"/>
                <w:lang w:eastAsia="zh-CN"/>
              </w:rPr>
            </w:pPr>
            <w:r>
              <w:rPr>
                <w:rFonts w:hint="eastAsia" w:ascii="仿宋_GB2312"/>
                <w:sz w:val="24"/>
                <w:szCs w:val="24"/>
                <w:lang w:eastAsia="zh-CN"/>
              </w:rPr>
              <w:t>3、所提交的申报资料与目录内容完全一致。</w:t>
            </w:r>
          </w:p>
          <w:p>
            <w:pPr>
              <w:widowControl w:val="0"/>
              <w:spacing w:line="580" w:lineRule="exact"/>
              <w:ind w:firstLine="33" w:firstLineChars="14"/>
              <w:rPr>
                <w:rFonts w:ascii="仿宋_GB2312"/>
                <w:sz w:val="24"/>
                <w:szCs w:val="24"/>
                <w:lang w:eastAsia="zh-CN"/>
              </w:rPr>
            </w:pPr>
            <w:r>
              <w:rPr>
                <w:rFonts w:hint="eastAsia" w:ascii="仿宋_GB2312"/>
                <w:sz w:val="24"/>
                <w:szCs w:val="24"/>
                <w:lang w:eastAsia="zh-CN"/>
              </w:rPr>
              <w:t>4、所提交的复印件与原件内容完全一致。</w:t>
            </w:r>
          </w:p>
          <w:p>
            <w:pPr>
              <w:widowControl w:val="0"/>
              <w:spacing w:line="580" w:lineRule="exact"/>
              <w:ind w:firstLine="33" w:firstLineChars="14"/>
              <w:rPr>
                <w:rFonts w:ascii="仿宋_GB2312"/>
                <w:sz w:val="24"/>
                <w:szCs w:val="24"/>
                <w:lang w:eastAsia="zh-CN"/>
              </w:rPr>
            </w:pPr>
            <w:r>
              <w:rPr>
                <w:rFonts w:hint="eastAsia" w:ascii="仿宋_GB2312"/>
                <w:sz w:val="24"/>
                <w:szCs w:val="24"/>
                <w:lang w:eastAsia="zh-CN"/>
              </w:rPr>
              <w:t>5、所提交的电子文件与打印文件内容完全一致。</w:t>
            </w:r>
          </w:p>
          <w:p>
            <w:pPr>
              <w:widowControl w:val="0"/>
              <w:spacing w:line="580" w:lineRule="exact"/>
              <w:ind w:firstLine="33" w:firstLineChars="14"/>
              <w:rPr>
                <w:rFonts w:ascii="仿宋_GB2312"/>
                <w:sz w:val="24"/>
                <w:szCs w:val="24"/>
                <w:lang w:eastAsia="zh-CN"/>
              </w:rPr>
            </w:pPr>
            <w:r>
              <w:rPr>
                <w:rFonts w:hint="eastAsia" w:ascii="仿宋_GB2312"/>
                <w:sz w:val="24"/>
                <w:szCs w:val="24"/>
                <w:lang w:eastAsia="zh-CN"/>
              </w:rPr>
              <w:t>6、保证按要求在国家局药品审评中心网站及时上传相关电子资料。</w:t>
            </w:r>
          </w:p>
          <w:p>
            <w:pPr>
              <w:widowControl w:val="0"/>
              <w:spacing w:line="580" w:lineRule="exact"/>
              <w:ind w:firstLine="33" w:firstLineChars="14"/>
              <w:rPr>
                <w:rFonts w:ascii="仿宋_GB2312"/>
                <w:sz w:val="24"/>
                <w:szCs w:val="24"/>
                <w:lang w:eastAsia="zh-CN"/>
              </w:rPr>
            </w:pPr>
            <w:r>
              <w:rPr>
                <w:rFonts w:hint="eastAsia" w:ascii="仿宋_GB2312"/>
                <w:sz w:val="24"/>
                <w:szCs w:val="24"/>
                <w:lang w:eastAsia="zh-CN"/>
              </w:rPr>
              <w:t>7、如有虚假，申请人本单位愿意承担相应法律责任。</w:t>
            </w:r>
          </w:p>
          <w:p>
            <w:pPr>
              <w:widowControl w:val="0"/>
              <w:spacing w:line="580" w:lineRule="exact"/>
              <w:ind w:firstLine="33" w:firstLineChars="14"/>
              <w:jc w:val="right"/>
              <w:rPr>
                <w:rFonts w:ascii="仿宋_GB2312"/>
                <w:sz w:val="24"/>
                <w:szCs w:val="24"/>
                <w:lang w:eastAsia="zh-CN"/>
              </w:rPr>
            </w:pPr>
            <w:r>
              <w:rPr>
                <w:rFonts w:hint="eastAsia" w:ascii="仿宋_GB2312"/>
                <w:sz w:val="24"/>
                <w:szCs w:val="24"/>
                <w:lang w:eastAsia="zh-CN"/>
              </w:rPr>
              <w:t>申请人（签字并加盖公章）</w:t>
            </w:r>
          </w:p>
          <w:p>
            <w:pPr>
              <w:widowControl w:val="0"/>
              <w:spacing w:line="580" w:lineRule="exact"/>
              <w:ind w:firstLine="33" w:firstLineChars="14"/>
              <w:jc w:val="right"/>
              <w:rPr>
                <w:rFonts w:ascii="仿宋_GB2312"/>
                <w:sz w:val="24"/>
                <w:szCs w:val="24"/>
                <w:lang w:eastAsia="zh-CN"/>
              </w:rPr>
            </w:pPr>
          </w:p>
          <w:p>
            <w:pPr>
              <w:widowControl w:val="0"/>
              <w:spacing w:line="580" w:lineRule="exact"/>
              <w:ind w:firstLine="33" w:firstLineChars="14"/>
              <w:jc w:val="right"/>
              <w:rPr>
                <w:rFonts w:ascii="仿宋_GB2312"/>
                <w:sz w:val="24"/>
                <w:szCs w:val="24"/>
                <w:lang w:eastAsia="zh-CN"/>
              </w:rPr>
            </w:pPr>
          </w:p>
          <w:p>
            <w:pPr>
              <w:widowControl w:val="0"/>
              <w:spacing w:line="580" w:lineRule="exact"/>
              <w:ind w:firstLine="33" w:firstLineChars="14"/>
              <w:jc w:val="right"/>
              <w:rPr>
                <w:rFonts w:ascii="仿宋_GB2312"/>
                <w:sz w:val="24"/>
                <w:szCs w:val="24"/>
                <w:lang w:eastAsia="zh-CN"/>
              </w:rPr>
            </w:pPr>
            <w:r>
              <w:rPr>
                <w:rFonts w:hint="eastAsia" w:ascii="仿宋_GB2312"/>
                <w:sz w:val="24"/>
                <w:szCs w:val="24"/>
                <w:lang w:eastAsia="zh-CN"/>
              </w:rPr>
              <w:t xml:space="preserve">年    月    日        </w:t>
            </w:r>
          </w:p>
        </w:tc>
      </w:tr>
    </w:tbl>
    <w:p>
      <w:pPr>
        <w:widowControl w:val="0"/>
        <w:overflowPunct w:val="0"/>
        <w:spacing w:line="580" w:lineRule="exact"/>
        <w:ind w:firstLine="0" w:firstLineChars="0"/>
        <w:rPr>
          <w:sz w:val="24"/>
          <w:szCs w:val="24"/>
          <w:lang w:eastAsia="zh-CN"/>
        </w:rPr>
      </w:pPr>
    </w:p>
    <w:p>
      <w:pPr>
        <w:widowControl w:val="0"/>
        <w:overflowPunct w:val="0"/>
        <w:spacing w:line="580" w:lineRule="exact"/>
        <w:ind w:firstLine="0" w:firstLineChars="0"/>
        <w:rPr>
          <w:sz w:val="24"/>
          <w:szCs w:val="24"/>
          <w:lang w:eastAsia="zh-CN"/>
        </w:rPr>
      </w:pPr>
    </w:p>
    <w:p>
      <w:pPr>
        <w:widowControl w:val="0"/>
        <w:overflowPunct w:val="0"/>
        <w:spacing w:line="580" w:lineRule="exact"/>
        <w:ind w:firstLine="0" w:firstLineChars="0"/>
        <w:rPr>
          <w:lang w:eastAsia="zh-CN"/>
        </w:rPr>
      </w:pPr>
      <w:r>
        <w:rPr>
          <w:rFonts w:hint="eastAsia"/>
          <w:lang w:eastAsia="zh-CN"/>
        </w:rPr>
        <w:br w:type="page"/>
      </w:r>
    </w:p>
    <w:p>
      <w:pPr>
        <w:widowControl w:val="0"/>
        <w:overflowPunct w:val="0"/>
        <w:spacing w:line="580" w:lineRule="exact"/>
        <w:ind w:firstLine="0" w:firstLineChars="0"/>
        <w:rPr>
          <w:rFonts w:hint="eastAsia" w:ascii="黑体" w:hAnsi="黑体" w:eastAsia="黑体" w:cs="黑体"/>
          <w:lang w:eastAsia="zh-CN"/>
        </w:rPr>
      </w:pPr>
      <w:r>
        <w:rPr>
          <w:rFonts w:hint="eastAsia" w:ascii="黑体" w:hAnsi="黑体" w:eastAsia="黑体" w:cs="黑体"/>
          <w:lang w:eastAsia="zh-CN"/>
        </w:rPr>
        <w:t>附2</w:t>
      </w:r>
    </w:p>
    <w:p>
      <w:pPr>
        <w:widowControl w:val="0"/>
        <w:overflowPunct w:val="0"/>
        <w:adjustRightInd w:val="0"/>
        <w:snapToGrid w:val="0"/>
        <w:spacing w:line="580" w:lineRule="exact"/>
        <w:ind w:left="0" w:firstLine="0" w:firstLineChars="0"/>
        <w:jc w:val="center"/>
        <w:rPr>
          <w:rFonts w:ascii="方正小标宋简体" w:hAnsi="方正小标宋简体" w:eastAsia="方正小标宋简体" w:cs="方正小标宋简体"/>
          <w:b w:val="0"/>
          <w:sz w:val="44"/>
          <w:szCs w:val="44"/>
          <w:lang w:eastAsia="zh-CN"/>
        </w:rPr>
      </w:pPr>
      <w:r>
        <w:rPr>
          <w:rFonts w:hint="eastAsia" w:ascii="方正小标宋简体" w:hAnsi="方正小标宋简体" w:eastAsia="方正小标宋简体" w:cs="方正小标宋简体"/>
          <w:b w:val="0"/>
          <w:sz w:val="44"/>
          <w:szCs w:val="44"/>
          <w:lang w:eastAsia="zh-CN"/>
        </w:rPr>
        <w:t>参考目录</w:t>
      </w:r>
    </w:p>
    <w:p>
      <w:pPr>
        <w:widowControl w:val="0"/>
        <w:overflowPunct w:val="0"/>
        <w:spacing w:line="580" w:lineRule="exact"/>
        <w:ind w:firstLine="0" w:firstLineChars="0"/>
        <w:rPr>
          <w:lang w:eastAsia="zh-CN"/>
        </w:rPr>
      </w:pPr>
    </w:p>
    <w:p>
      <w:pPr>
        <w:widowControl w:val="0"/>
        <w:overflowPunct w:val="0"/>
        <w:spacing w:line="580" w:lineRule="exact"/>
        <w:ind w:firstLine="0" w:firstLineChars="0"/>
        <w:rPr>
          <w:color w:val="auto"/>
          <w:lang w:eastAsia="zh-CN"/>
        </w:rPr>
      </w:pPr>
      <w:r>
        <w:rPr>
          <w:color w:val="auto"/>
          <w:lang w:eastAsia="zh-CN"/>
        </w:rPr>
        <w:t>1</w:t>
      </w:r>
      <w:r>
        <w:rPr>
          <w:rFonts w:hint="eastAsia"/>
          <w:color w:val="auto"/>
          <w:lang w:eastAsia="zh-CN"/>
        </w:rPr>
        <w:t>．《药品注册管理办法》（总局令</w:t>
      </w:r>
      <w:r>
        <w:rPr>
          <w:color w:val="auto"/>
          <w:lang w:eastAsia="zh-CN"/>
        </w:rPr>
        <w:t>27</w:t>
      </w:r>
      <w:r>
        <w:rPr>
          <w:rFonts w:hint="eastAsia"/>
          <w:color w:val="auto"/>
          <w:lang w:eastAsia="zh-CN"/>
        </w:rPr>
        <w:t>号）</w:t>
      </w:r>
    </w:p>
    <w:p>
      <w:pPr>
        <w:widowControl w:val="0"/>
        <w:overflowPunct w:val="0"/>
        <w:spacing w:line="580" w:lineRule="exact"/>
        <w:ind w:firstLine="0" w:firstLineChars="0"/>
        <w:rPr>
          <w:color w:val="auto"/>
          <w:lang w:eastAsia="zh-CN"/>
        </w:rPr>
      </w:pPr>
      <w:r>
        <w:rPr>
          <w:color w:val="auto"/>
          <w:lang w:eastAsia="zh-CN"/>
        </w:rPr>
        <w:t>2</w:t>
      </w:r>
      <w:r>
        <w:rPr>
          <w:rFonts w:hint="eastAsia"/>
          <w:color w:val="auto"/>
          <w:lang w:eastAsia="zh-CN"/>
        </w:rPr>
        <w:t>．《生物制品注册分类及申报资料要求》</w:t>
      </w:r>
    </w:p>
    <w:p>
      <w:pPr>
        <w:widowControl w:val="0"/>
        <w:overflowPunct w:val="0"/>
        <w:spacing w:line="580" w:lineRule="exact"/>
        <w:ind w:firstLine="0" w:firstLineChars="0"/>
        <w:rPr>
          <w:color w:val="auto"/>
          <w:lang w:eastAsia="zh-CN"/>
        </w:rPr>
      </w:pPr>
      <w:r>
        <w:rPr>
          <w:color w:val="auto"/>
          <w:lang w:eastAsia="zh-CN"/>
        </w:rPr>
        <w:t>3</w:t>
      </w:r>
      <w:r>
        <w:rPr>
          <w:rFonts w:hint="eastAsia"/>
          <w:color w:val="auto"/>
          <w:lang w:eastAsia="zh-CN"/>
        </w:rPr>
        <w:t>．《关于发布</w:t>
      </w:r>
      <w:r>
        <w:rPr>
          <w:color w:val="auto"/>
          <w:lang w:eastAsia="zh-CN"/>
        </w:rPr>
        <w:t>&lt;M4</w:t>
      </w:r>
      <w:r>
        <w:rPr>
          <w:rFonts w:hint="eastAsia"/>
          <w:color w:val="auto"/>
          <w:lang w:eastAsia="zh-CN"/>
        </w:rPr>
        <w:t>：人用药物注册申请通用技术文档（</w:t>
      </w:r>
      <w:r>
        <w:rPr>
          <w:color w:val="auto"/>
          <w:lang w:eastAsia="zh-CN"/>
        </w:rPr>
        <w:t>CTD</w:t>
      </w:r>
      <w:r>
        <w:rPr>
          <w:rFonts w:hint="eastAsia"/>
          <w:color w:val="auto"/>
          <w:lang w:eastAsia="zh-CN"/>
        </w:rPr>
        <w:t>）</w:t>
      </w:r>
      <w:r>
        <w:rPr>
          <w:color w:val="auto"/>
          <w:lang w:eastAsia="zh-CN"/>
        </w:rPr>
        <w:t>&gt;</w:t>
      </w:r>
      <w:r>
        <w:rPr>
          <w:rFonts w:hint="eastAsia"/>
          <w:color w:val="auto"/>
          <w:lang w:eastAsia="zh-CN"/>
        </w:rPr>
        <w:t>模块一文件及</w:t>
      </w:r>
      <w:r>
        <w:rPr>
          <w:color w:val="auto"/>
          <w:lang w:eastAsia="zh-CN"/>
        </w:rPr>
        <w:t>CTD</w:t>
      </w:r>
      <w:r>
        <w:rPr>
          <w:rFonts w:hint="eastAsia"/>
          <w:color w:val="auto"/>
          <w:lang w:eastAsia="zh-CN"/>
        </w:rPr>
        <w:t>中文版的通告》（</w:t>
      </w:r>
      <w:r>
        <w:rPr>
          <w:color w:val="auto"/>
          <w:lang w:eastAsia="zh-CN"/>
        </w:rPr>
        <w:t>2019</w:t>
      </w:r>
      <w:r>
        <w:rPr>
          <w:rFonts w:hint="eastAsia"/>
          <w:color w:val="auto"/>
          <w:lang w:eastAsia="zh-CN"/>
        </w:rPr>
        <w:t>年第</w:t>
      </w:r>
      <w:r>
        <w:rPr>
          <w:color w:val="auto"/>
          <w:lang w:eastAsia="zh-CN"/>
        </w:rPr>
        <w:t>17</w:t>
      </w:r>
      <w:r>
        <w:rPr>
          <w:rFonts w:hint="eastAsia"/>
          <w:color w:val="auto"/>
          <w:lang w:eastAsia="zh-CN"/>
        </w:rPr>
        <w:t>号）</w:t>
      </w:r>
    </w:p>
    <w:p>
      <w:pPr>
        <w:widowControl w:val="0"/>
        <w:overflowPunct w:val="0"/>
        <w:spacing w:line="580" w:lineRule="exact"/>
        <w:ind w:firstLine="0" w:firstLineChars="0"/>
        <w:rPr>
          <w:color w:val="auto"/>
          <w:lang w:eastAsia="zh-CN"/>
        </w:rPr>
      </w:pPr>
      <w:r>
        <w:rPr>
          <w:color w:val="auto"/>
          <w:lang w:eastAsia="zh-CN"/>
        </w:rPr>
        <w:t>4</w:t>
      </w:r>
      <w:r>
        <w:rPr>
          <w:rFonts w:hint="eastAsia"/>
          <w:color w:val="auto"/>
          <w:lang w:eastAsia="zh-CN"/>
        </w:rPr>
        <w:t>．《关于药械组合产品注册有关事宜的通告》（</w:t>
      </w:r>
      <w:r>
        <w:rPr>
          <w:color w:val="auto"/>
          <w:lang w:eastAsia="zh-CN"/>
        </w:rPr>
        <w:t>2019</w:t>
      </w:r>
      <w:r>
        <w:rPr>
          <w:rFonts w:hint="eastAsia"/>
          <w:color w:val="auto"/>
          <w:lang w:eastAsia="zh-CN"/>
        </w:rPr>
        <w:t>年第</w:t>
      </w:r>
      <w:r>
        <w:rPr>
          <w:color w:val="auto"/>
          <w:lang w:eastAsia="zh-CN"/>
        </w:rPr>
        <w:t>16</w:t>
      </w:r>
      <w:r>
        <w:rPr>
          <w:rFonts w:hint="eastAsia"/>
          <w:color w:val="auto"/>
          <w:lang w:eastAsia="zh-CN"/>
        </w:rPr>
        <w:t>号）</w:t>
      </w:r>
    </w:p>
    <w:p>
      <w:pPr>
        <w:widowControl w:val="0"/>
        <w:overflowPunct w:val="0"/>
        <w:spacing w:line="580" w:lineRule="exact"/>
        <w:ind w:firstLine="0" w:firstLineChars="0"/>
        <w:rPr>
          <w:color w:val="auto"/>
          <w:lang w:eastAsia="zh-CN"/>
        </w:rPr>
      </w:pPr>
      <w:r>
        <w:rPr>
          <w:color w:val="auto"/>
          <w:lang w:eastAsia="zh-CN"/>
        </w:rPr>
        <w:t>5</w:t>
      </w:r>
      <w:r>
        <w:rPr>
          <w:rFonts w:hint="eastAsia"/>
          <w:color w:val="auto"/>
          <w:lang w:eastAsia="zh-CN"/>
        </w:rPr>
        <w:t>．《关于取消</w:t>
      </w:r>
      <w:r>
        <w:rPr>
          <w:color w:val="auto"/>
          <w:lang w:eastAsia="zh-CN"/>
        </w:rPr>
        <w:t>36</w:t>
      </w:r>
      <w:r>
        <w:rPr>
          <w:rFonts w:hint="eastAsia"/>
          <w:color w:val="auto"/>
          <w:lang w:eastAsia="zh-CN"/>
        </w:rPr>
        <w:t>项证明事项的公告》（</w:t>
      </w:r>
      <w:r>
        <w:rPr>
          <w:color w:val="auto"/>
          <w:lang w:eastAsia="zh-CN"/>
        </w:rPr>
        <w:t>2019</w:t>
      </w:r>
      <w:r>
        <w:rPr>
          <w:rFonts w:hint="eastAsia"/>
          <w:color w:val="auto"/>
          <w:lang w:eastAsia="zh-CN"/>
        </w:rPr>
        <w:t>年第</w:t>
      </w:r>
      <w:r>
        <w:rPr>
          <w:color w:val="auto"/>
          <w:lang w:eastAsia="zh-CN"/>
        </w:rPr>
        <w:t>34</w:t>
      </w:r>
      <w:r>
        <w:rPr>
          <w:rFonts w:hint="eastAsia"/>
          <w:color w:val="auto"/>
          <w:lang w:eastAsia="zh-CN"/>
        </w:rPr>
        <w:t>号）</w:t>
      </w:r>
    </w:p>
    <w:p>
      <w:pPr>
        <w:widowControl w:val="0"/>
        <w:overflowPunct w:val="0"/>
        <w:spacing w:line="580" w:lineRule="exact"/>
        <w:ind w:firstLine="0" w:firstLineChars="0"/>
        <w:rPr>
          <w:color w:val="auto"/>
          <w:lang w:eastAsia="zh-CN"/>
        </w:rPr>
      </w:pPr>
      <w:r>
        <w:rPr>
          <w:color w:val="auto"/>
          <w:lang w:eastAsia="zh-CN"/>
        </w:rPr>
        <w:t>6</w:t>
      </w:r>
      <w:r>
        <w:rPr>
          <w:rFonts w:hint="eastAsia"/>
          <w:color w:val="auto"/>
          <w:lang w:eastAsia="zh-CN"/>
        </w:rPr>
        <w:t>．《关于取消</w:t>
      </w:r>
      <w:r>
        <w:rPr>
          <w:color w:val="auto"/>
          <w:lang w:eastAsia="zh-CN"/>
        </w:rPr>
        <w:t>16</w:t>
      </w:r>
      <w:r>
        <w:rPr>
          <w:rFonts w:hint="eastAsia"/>
          <w:color w:val="auto"/>
          <w:lang w:eastAsia="zh-CN"/>
        </w:rPr>
        <w:t>项证明事项的公告（第二批）》（</w:t>
      </w:r>
      <w:r>
        <w:rPr>
          <w:color w:val="auto"/>
          <w:lang w:eastAsia="zh-CN"/>
        </w:rPr>
        <w:t>2019</w:t>
      </w:r>
      <w:r>
        <w:rPr>
          <w:rFonts w:hint="eastAsia"/>
          <w:color w:val="auto"/>
          <w:lang w:eastAsia="zh-CN"/>
        </w:rPr>
        <w:t>年第</w:t>
      </w:r>
      <w:r>
        <w:rPr>
          <w:color w:val="auto"/>
          <w:lang w:eastAsia="zh-CN"/>
        </w:rPr>
        <w:t>55</w:t>
      </w:r>
      <w:r>
        <w:rPr>
          <w:rFonts w:hint="eastAsia"/>
          <w:color w:val="auto"/>
          <w:lang w:eastAsia="zh-CN"/>
        </w:rPr>
        <w:t>号）</w:t>
      </w:r>
    </w:p>
    <w:p>
      <w:pPr>
        <w:widowControl w:val="0"/>
        <w:overflowPunct w:val="0"/>
        <w:spacing w:line="580" w:lineRule="exact"/>
        <w:ind w:firstLine="0" w:firstLineChars="0"/>
        <w:rPr>
          <w:lang w:eastAsia="zh-CN"/>
        </w:rPr>
      </w:pPr>
      <w:r>
        <w:rPr>
          <w:color w:val="auto"/>
          <w:lang w:eastAsia="zh-CN"/>
        </w:rPr>
        <w:t>7</w:t>
      </w:r>
      <w:r>
        <w:rPr>
          <w:rFonts w:hint="eastAsia"/>
          <w:color w:val="auto"/>
          <w:lang w:eastAsia="zh-CN"/>
        </w:rPr>
        <w:t>．《关于取消</w:t>
      </w:r>
      <w:r>
        <w:rPr>
          <w:color w:val="auto"/>
          <w:lang w:eastAsia="zh-CN"/>
        </w:rPr>
        <w:t>68</w:t>
      </w:r>
      <w:r>
        <w:rPr>
          <w:rFonts w:hint="eastAsia"/>
          <w:color w:val="auto"/>
          <w:lang w:eastAsia="zh-CN"/>
        </w:rPr>
        <w:t>项证明事项的公告（第三批）》</w:t>
      </w:r>
      <w:r>
        <w:rPr>
          <w:color w:val="auto"/>
          <w:lang w:eastAsia="zh-CN"/>
        </w:rPr>
        <w:t>(2019</w:t>
      </w:r>
      <w:r>
        <w:rPr>
          <w:rFonts w:hint="eastAsia"/>
          <w:color w:val="auto"/>
          <w:lang w:eastAsia="zh-CN"/>
        </w:rPr>
        <w:t>年第</w:t>
      </w:r>
      <w:r>
        <w:rPr>
          <w:color w:val="auto"/>
          <w:lang w:eastAsia="zh-CN"/>
        </w:rPr>
        <w:t>102</w:t>
      </w:r>
      <w:r>
        <w:rPr>
          <w:rFonts w:hint="eastAsia"/>
          <w:color w:val="auto"/>
          <w:lang w:eastAsia="zh-CN"/>
        </w:rPr>
        <w:t>号</w:t>
      </w:r>
      <w:r>
        <w:rPr>
          <w:color w:val="auto"/>
          <w:lang w:eastAsia="zh-CN"/>
        </w:rPr>
        <w:t>)</w:t>
      </w:r>
      <w:bookmarkEnd w:id="12"/>
    </w:p>
    <w:sectPr>
      <w:footerReference r:id="rId9" w:type="default"/>
      <w:pgSz w:w="11906" w:h="16838"/>
      <w:pgMar w:top="1758" w:right="1531" w:bottom="1588" w:left="1531" w:header="851" w:footer="1247" w:gutter="0"/>
      <w:pgNumType w:start="1"/>
      <w:cols w:space="0" w:num="1"/>
      <w:docGrid w:linePitch="435" w:charSpace="-47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楷体">
    <w:altName w:val="楷体_GB2312"/>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Calibri Light">
    <w:altName w:val="Calibri"/>
    <w:panose1 w:val="020F0302020204030204"/>
    <w:charset w:val="00"/>
    <w:family w:val="swiss"/>
    <w:pitch w:val="default"/>
    <w:sig w:usb0="00000000" w:usb1="00000000" w:usb2="00000000"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pPr>
    <w:sdt>
      <w:sdtPr>
        <w:id w:val="-1719274159"/>
      </w:sdtPr>
      <w:sdtContent>
        <w:r>
          <w:fldChar w:fldCharType="begin"/>
        </w:r>
        <w:r>
          <w:instrText xml:space="preserve">PAGE   \* MERGEFORMAT</w:instrText>
        </w:r>
        <w:r>
          <w:fldChar w:fldCharType="separate"/>
        </w:r>
        <w:r>
          <w:t>4</w:t>
        </w:r>
        <w:r>
          <w:fldChar w:fldCharType="end"/>
        </w:r>
      </w:sdtContent>
    </w:sdt>
  </w:p>
  <w:p>
    <w:pPr>
      <w:pStyle w:val="24"/>
      <w:ind w:firstLine="200"/>
      <w:jc w:val="center"/>
      <w:rPr>
        <w:sz w:val="10"/>
        <w:szCs w:val="10"/>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00CE0"/>
    <w:multiLevelType w:val="multilevel"/>
    <w:tmpl w:val="55600CE0"/>
    <w:lvl w:ilvl="0" w:tentative="0">
      <w:start w:val="1"/>
      <w:numFmt w:val="decimal"/>
      <w:lvlText w:val="%1."/>
      <w:lvlJc w:val="left"/>
      <w:pPr>
        <w:ind w:left="425" w:hanging="425"/>
      </w:pPr>
      <w:rPr>
        <w:rFonts w:cs="Times New Roman"/>
      </w:rPr>
    </w:lvl>
    <w:lvl w:ilvl="1" w:tentative="0">
      <w:start w:val="1"/>
      <w:numFmt w:val="decimal"/>
      <w:pStyle w:val="99"/>
      <w:lvlText w:val="%1.%2."/>
      <w:lvlJc w:val="left"/>
      <w:pPr>
        <w:ind w:left="851" w:hanging="567"/>
      </w:pPr>
      <w:rPr>
        <w:rFonts w:cs="Times New Roman"/>
      </w:rPr>
    </w:lvl>
    <w:lvl w:ilvl="2" w:tentative="0">
      <w:start w:val="1"/>
      <w:numFmt w:val="decimal"/>
      <w:lvlText w:val="%1.%2.%3."/>
      <w:lvlJc w:val="left"/>
      <w:pPr>
        <w:ind w:left="709" w:hanging="709"/>
      </w:pPr>
      <w:rPr>
        <w:rFonts w:hint="eastAsia" w:cs="Times New Roman"/>
        <w:b w:val="0"/>
      </w:rPr>
    </w:lvl>
    <w:lvl w:ilvl="3" w:tentative="0">
      <w:start w:val="1"/>
      <w:numFmt w:val="decimal"/>
      <w:lvlText w:val="%1.%2.%3.%4."/>
      <w:lvlJc w:val="left"/>
      <w:pPr>
        <w:ind w:left="851" w:hanging="851"/>
      </w:pPr>
      <w:rPr>
        <w:rFonts w:cs="Times New Roman"/>
      </w:rPr>
    </w:lvl>
    <w:lvl w:ilvl="4" w:tentative="0">
      <w:start w:val="1"/>
      <w:numFmt w:val="decimal"/>
      <w:lvlText w:val="%1.%2.%3.%4.%5."/>
      <w:lvlJc w:val="left"/>
      <w:pPr>
        <w:ind w:left="992" w:hanging="992"/>
      </w:pPr>
      <w:rPr>
        <w:rFonts w:cs="Times New Roman"/>
      </w:rPr>
    </w:lvl>
    <w:lvl w:ilvl="5" w:tentative="0">
      <w:start w:val="1"/>
      <w:numFmt w:val="decimal"/>
      <w:lvlText w:val="%1.%2.%3.%4.%5.%6."/>
      <w:lvlJc w:val="left"/>
      <w:pPr>
        <w:ind w:left="1134" w:hanging="1134"/>
      </w:pPr>
      <w:rPr>
        <w:rFonts w:cs="Times New Roman"/>
      </w:rPr>
    </w:lvl>
    <w:lvl w:ilvl="6" w:tentative="0">
      <w:start w:val="1"/>
      <w:numFmt w:val="decimal"/>
      <w:lvlText w:val="%1.%2.%3.%4.%5.%6.%7."/>
      <w:lvlJc w:val="left"/>
      <w:pPr>
        <w:ind w:left="1276" w:hanging="1276"/>
      </w:pPr>
      <w:rPr>
        <w:rFonts w:cs="Times New Roman"/>
      </w:rPr>
    </w:lvl>
    <w:lvl w:ilvl="7" w:tentative="0">
      <w:start w:val="1"/>
      <w:numFmt w:val="decimal"/>
      <w:lvlText w:val="%1.%2.%3.%4.%5.%6.%7.%8."/>
      <w:lvlJc w:val="left"/>
      <w:pPr>
        <w:ind w:left="1418" w:hanging="1418"/>
      </w:pPr>
      <w:rPr>
        <w:rFonts w:cs="Times New Roman"/>
      </w:rPr>
    </w:lvl>
    <w:lvl w:ilvl="8" w:tentative="0">
      <w:start w:val="1"/>
      <w:numFmt w:val="decimal"/>
      <w:lvlText w:val="%1.%2.%3.%4.%5.%6.%7.%8.%9."/>
      <w:lvlJc w:val="left"/>
      <w:pPr>
        <w:ind w:left="1559" w:hanging="1559"/>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6"/>
  <w:bordersDoNotSurroundHeader w:val="1"/>
  <w:bordersDoNotSurroundFooter w:val="1"/>
  <w:documentProtection w:enforcement="0"/>
  <w:defaultTabStop w:val="419"/>
  <w:drawingGridHorizontalSpacing w:val="148"/>
  <w:drawingGridVerticalSpacing w:val="156"/>
  <w:displayHorizontalDrawingGridEvery w:val="2"/>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8D"/>
    <w:rsid w:val="000004B3"/>
    <w:rsid w:val="00002F84"/>
    <w:rsid w:val="000154B3"/>
    <w:rsid w:val="00024984"/>
    <w:rsid w:val="000424ED"/>
    <w:rsid w:val="0005124C"/>
    <w:rsid w:val="00051D75"/>
    <w:rsid w:val="00055EC8"/>
    <w:rsid w:val="000566B2"/>
    <w:rsid w:val="00063EDE"/>
    <w:rsid w:val="000652D3"/>
    <w:rsid w:val="00072845"/>
    <w:rsid w:val="00076669"/>
    <w:rsid w:val="00081D8E"/>
    <w:rsid w:val="000822AF"/>
    <w:rsid w:val="0009145F"/>
    <w:rsid w:val="00093F57"/>
    <w:rsid w:val="00094B7F"/>
    <w:rsid w:val="000A4277"/>
    <w:rsid w:val="000A5DFF"/>
    <w:rsid w:val="000B2AA6"/>
    <w:rsid w:val="000B5C40"/>
    <w:rsid w:val="000C0965"/>
    <w:rsid w:val="000C3AE1"/>
    <w:rsid w:val="000C6106"/>
    <w:rsid w:val="000D1C0C"/>
    <w:rsid w:val="000D2E0E"/>
    <w:rsid w:val="000D43AE"/>
    <w:rsid w:val="000D4ABA"/>
    <w:rsid w:val="000D6BDF"/>
    <w:rsid w:val="000E4048"/>
    <w:rsid w:val="000E5343"/>
    <w:rsid w:val="000E58BE"/>
    <w:rsid w:val="000F7C73"/>
    <w:rsid w:val="001000D7"/>
    <w:rsid w:val="00101D89"/>
    <w:rsid w:val="001136E7"/>
    <w:rsid w:val="00116D65"/>
    <w:rsid w:val="00120C43"/>
    <w:rsid w:val="00121D40"/>
    <w:rsid w:val="001346AD"/>
    <w:rsid w:val="00134B86"/>
    <w:rsid w:val="001410FC"/>
    <w:rsid w:val="001416AF"/>
    <w:rsid w:val="00142A7F"/>
    <w:rsid w:val="00142D2A"/>
    <w:rsid w:val="00143E8A"/>
    <w:rsid w:val="001458F7"/>
    <w:rsid w:val="00151B41"/>
    <w:rsid w:val="00170FB9"/>
    <w:rsid w:val="00174F90"/>
    <w:rsid w:val="001769D5"/>
    <w:rsid w:val="00176E38"/>
    <w:rsid w:val="00182640"/>
    <w:rsid w:val="001901DD"/>
    <w:rsid w:val="00193598"/>
    <w:rsid w:val="00193EE3"/>
    <w:rsid w:val="00194BBC"/>
    <w:rsid w:val="00195844"/>
    <w:rsid w:val="0019674F"/>
    <w:rsid w:val="001A31AE"/>
    <w:rsid w:val="001A39C2"/>
    <w:rsid w:val="001B5447"/>
    <w:rsid w:val="001C158B"/>
    <w:rsid w:val="001C2574"/>
    <w:rsid w:val="001C5E36"/>
    <w:rsid w:val="001C699B"/>
    <w:rsid w:val="001C6D1D"/>
    <w:rsid w:val="001D0B5C"/>
    <w:rsid w:val="001D0D9E"/>
    <w:rsid w:val="001D2303"/>
    <w:rsid w:val="001E1B99"/>
    <w:rsid w:val="001E5217"/>
    <w:rsid w:val="001F0500"/>
    <w:rsid w:val="001F15E3"/>
    <w:rsid w:val="001F3064"/>
    <w:rsid w:val="0020195D"/>
    <w:rsid w:val="0020749E"/>
    <w:rsid w:val="00214619"/>
    <w:rsid w:val="00222443"/>
    <w:rsid w:val="002226E8"/>
    <w:rsid w:val="0022401B"/>
    <w:rsid w:val="00224582"/>
    <w:rsid w:val="0022663A"/>
    <w:rsid w:val="00231508"/>
    <w:rsid w:val="00234130"/>
    <w:rsid w:val="00234457"/>
    <w:rsid w:val="00234548"/>
    <w:rsid w:val="002379A6"/>
    <w:rsid w:val="00245EB3"/>
    <w:rsid w:val="00254483"/>
    <w:rsid w:val="00254CCD"/>
    <w:rsid w:val="00256081"/>
    <w:rsid w:val="00256976"/>
    <w:rsid w:val="0027096C"/>
    <w:rsid w:val="00271113"/>
    <w:rsid w:val="00271FAE"/>
    <w:rsid w:val="00272160"/>
    <w:rsid w:val="002727B7"/>
    <w:rsid w:val="002728FA"/>
    <w:rsid w:val="0027315A"/>
    <w:rsid w:val="00273D82"/>
    <w:rsid w:val="00274724"/>
    <w:rsid w:val="00274752"/>
    <w:rsid w:val="00275A32"/>
    <w:rsid w:val="002803E3"/>
    <w:rsid w:val="00282F97"/>
    <w:rsid w:val="002863D2"/>
    <w:rsid w:val="0028674E"/>
    <w:rsid w:val="0029061B"/>
    <w:rsid w:val="002A0E61"/>
    <w:rsid w:val="002A1315"/>
    <w:rsid w:val="002A5911"/>
    <w:rsid w:val="002B028A"/>
    <w:rsid w:val="002B3E96"/>
    <w:rsid w:val="002B4EB3"/>
    <w:rsid w:val="002B66A8"/>
    <w:rsid w:val="002B67AC"/>
    <w:rsid w:val="002C585A"/>
    <w:rsid w:val="002D4BA3"/>
    <w:rsid w:val="002E639B"/>
    <w:rsid w:val="002E68D3"/>
    <w:rsid w:val="002F2F0A"/>
    <w:rsid w:val="00304236"/>
    <w:rsid w:val="00312261"/>
    <w:rsid w:val="003129FC"/>
    <w:rsid w:val="0032289A"/>
    <w:rsid w:val="00325823"/>
    <w:rsid w:val="00325985"/>
    <w:rsid w:val="003262E1"/>
    <w:rsid w:val="0033298D"/>
    <w:rsid w:val="003418C6"/>
    <w:rsid w:val="00346629"/>
    <w:rsid w:val="00351BBF"/>
    <w:rsid w:val="00356B97"/>
    <w:rsid w:val="003637F2"/>
    <w:rsid w:val="00364735"/>
    <w:rsid w:val="003673B4"/>
    <w:rsid w:val="00373647"/>
    <w:rsid w:val="00375D76"/>
    <w:rsid w:val="003761CF"/>
    <w:rsid w:val="00376785"/>
    <w:rsid w:val="003801F4"/>
    <w:rsid w:val="00382C22"/>
    <w:rsid w:val="0038478E"/>
    <w:rsid w:val="00384D34"/>
    <w:rsid w:val="003929EC"/>
    <w:rsid w:val="0039503F"/>
    <w:rsid w:val="003953CF"/>
    <w:rsid w:val="003A2FFC"/>
    <w:rsid w:val="003A79E3"/>
    <w:rsid w:val="003B0073"/>
    <w:rsid w:val="003B0451"/>
    <w:rsid w:val="003B2084"/>
    <w:rsid w:val="003B2E8B"/>
    <w:rsid w:val="003B31DC"/>
    <w:rsid w:val="003C0301"/>
    <w:rsid w:val="003C0F37"/>
    <w:rsid w:val="003C26FB"/>
    <w:rsid w:val="003C344F"/>
    <w:rsid w:val="003C7B4C"/>
    <w:rsid w:val="003D169E"/>
    <w:rsid w:val="003E1E68"/>
    <w:rsid w:val="003F355A"/>
    <w:rsid w:val="004027C7"/>
    <w:rsid w:val="004166B9"/>
    <w:rsid w:val="00417456"/>
    <w:rsid w:val="00426F1A"/>
    <w:rsid w:val="00427090"/>
    <w:rsid w:val="00430D96"/>
    <w:rsid w:val="00441740"/>
    <w:rsid w:val="00442367"/>
    <w:rsid w:val="00443115"/>
    <w:rsid w:val="00444418"/>
    <w:rsid w:val="00445B5A"/>
    <w:rsid w:val="004466E6"/>
    <w:rsid w:val="0046525C"/>
    <w:rsid w:val="00467FBB"/>
    <w:rsid w:val="004753EF"/>
    <w:rsid w:val="00476D27"/>
    <w:rsid w:val="00480D74"/>
    <w:rsid w:val="00480F64"/>
    <w:rsid w:val="0048358E"/>
    <w:rsid w:val="004906F2"/>
    <w:rsid w:val="00490F19"/>
    <w:rsid w:val="00492BFB"/>
    <w:rsid w:val="00492EEA"/>
    <w:rsid w:val="0049681E"/>
    <w:rsid w:val="004973C0"/>
    <w:rsid w:val="004A138D"/>
    <w:rsid w:val="004A1847"/>
    <w:rsid w:val="004A3E3F"/>
    <w:rsid w:val="004A5C86"/>
    <w:rsid w:val="004C0844"/>
    <w:rsid w:val="004C1C19"/>
    <w:rsid w:val="004C3F99"/>
    <w:rsid w:val="004D4F7D"/>
    <w:rsid w:val="004E4D3C"/>
    <w:rsid w:val="004F007B"/>
    <w:rsid w:val="004F2A7B"/>
    <w:rsid w:val="004F3B8E"/>
    <w:rsid w:val="004F47FF"/>
    <w:rsid w:val="004F63C1"/>
    <w:rsid w:val="004F73B9"/>
    <w:rsid w:val="0051054A"/>
    <w:rsid w:val="005107C3"/>
    <w:rsid w:val="00515E07"/>
    <w:rsid w:val="005169F0"/>
    <w:rsid w:val="0052013D"/>
    <w:rsid w:val="005315FD"/>
    <w:rsid w:val="005361AA"/>
    <w:rsid w:val="00536CF2"/>
    <w:rsid w:val="005426AC"/>
    <w:rsid w:val="005455A0"/>
    <w:rsid w:val="00550070"/>
    <w:rsid w:val="00551A5F"/>
    <w:rsid w:val="00553540"/>
    <w:rsid w:val="00553B8C"/>
    <w:rsid w:val="005603C4"/>
    <w:rsid w:val="0056314C"/>
    <w:rsid w:val="00563841"/>
    <w:rsid w:val="00582F05"/>
    <w:rsid w:val="0058372C"/>
    <w:rsid w:val="00586928"/>
    <w:rsid w:val="00586DC0"/>
    <w:rsid w:val="00594AE2"/>
    <w:rsid w:val="005974B8"/>
    <w:rsid w:val="005A207B"/>
    <w:rsid w:val="005A720C"/>
    <w:rsid w:val="005B5E2A"/>
    <w:rsid w:val="005B68B5"/>
    <w:rsid w:val="005C075D"/>
    <w:rsid w:val="005C0B34"/>
    <w:rsid w:val="005C6D89"/>
    <w:rsid w:val="005D00DF"/>
    <w:rsid w:val="005E32D0"/>
    <w:rsid w:val="005E4249"/>
    <w:rsid w:val="005F1508"/>
    <w:rsid w:val="00604BA6"/>
    <w:rsid w:val="00605D6A"/>
    <w:rsid w:val="00607697"/>
    <w:rsid w:val="00610E85"/>
    <w:rsid w:val="00614780"/>
    <w:rsid w:val="00616DCC"/>
    <w:rsid w:val="00623DEF"/>
    <w:rsid w:val="00627C2E"/>
    <w:rsid w:val="00634930"/>
    <w:rsid w:val="00636488"/>
    <w:rsid w:val="00637E2B"/>
    <w:rsid w:val="00647EED"/>
    <w:rsid w:val="00660594"/>
    <w:rsid w:val="00663A24"/>
    <w:rsid w:val="00677681"/>
    <w:rsid w:val="00677F45"/>
    <w:rsid w:val="00682DEC"/>
    <w:rsid w:val="00683174"/>
    <w:rsid w:val="00685A39"/>
    <w:rsid w:val="006868B7"/>
    <w:rsid w:val="0069285A"/>
    <w:rsid w:val="00695C39"/>
    <w:rsid w:val="0069616E"/>
    <w:rsid w:val="0069655C"/>
    <w:rsid w:val="00697FD5"/>
    <w:rsid w:val="006A469B"/>
    <w:rsid w:val="006A4972"/>
    <w:rsid w:val="006B03AC"/>
    <w:rsid w:val="006B1E82"/>
    <w:rsid w:val="006B4278"/>
    <w:rsid w:val="006B6999"/>
    <w:rsid w:val="006C1A5F"/>
    <w:rsid w:val="006C2AA7"/>
    <w:rsid w:val="006C4A06"/>
    <w:rsid w:val="006C7FE6"/>
    <w:rsid w:val="006D107F"/>
    <w:rsid w:val="006D2851"/>
    <w:rsid w:val="006D53C1"/>
    <w:rsid w:val="006E35B9"/>
    <w:rsid w:val="006F0B80"/>
    <w:rsid w:val="00707C75"/>
    <w:rsid w:val="00713754"/>
    <w:rsid w:val="007140FF"/>
    <w:rsid w:val="00730635"/>
    <w:rsid w:val="00736C59"/>
    <w:rsid w:val="00745A27"/>
    <w:rsid w:val="0074708B"/>
    <w:rsid w:val="00750142"/>
    <w:rsid w:val="00750D5E"/>
    <w:rsid w:val="00752FEB"/>
    <w:rsid w:val="0076484B"/>
    <w:rsid w:val="007665B4"/>
    <w:rsid w:val="007718A8"/>
    <w:rsid w:val="007760FB"/>
    <w:rsid w:val="00785003"/>
    <w:rsid w:val="0078608C"/>
    <w:rsid w:val="00790F0E"/>
    <w:rsid w:val="00791E9F"/>
    <w:rsid w:val="007973E7"/>
    <w:rsid w:val="00797C15"/>
    <w:rsid w:val="007B0C48"/>
    <w:rsid w:val="007B2851"/>
    <w:rsid w:val="007B3313"/>
    <w:rsid w:val="007B5A37"/>
    <w:rsid w:val="007C07CE"/>
    <w:rsid w:val="007C3047"/>
    <w:rsid w:val="007C488E"/>
    <w:rsid w:val="007E49A3"/>
    <w:rsid w:val="007E5906"/>
    <w:rsid w:val="007E5A27"/>
    <w:rsid w:val="007E5FE4"/>
    <w:rsid w:val="007F154D"/>
    <w:rsid w:val="007F2BFC"/>
    <w:rsid w:val="007F3E3D"/>
    <w:rsid w:val="007F435A"/>
    <w:rsid w:val="00814777"/>
    <w:rsid w:val="00815B30"/>
    <w:rsid w:val="00823A48"/>
    <w:rsid w:val="00824937"/>
    <w:rsid w:val="00825100"/>
    <w:rsid w:val="00825FD7"/>
    <w:rsid w:val="0084290B"/>
    <w:rsid w:val="008508BF"/>
    <w:rsid w:val="00850BB2"/>
    <w:rsid w:val="00850E77"/>
    <w:rsid w:val="008562F9"/>
    <w:rsid w:val="00856A48"/>
    <w:rsid w:val="00856F16"/>
    <w:rsid w:val="00857A64"/>
    <w:rsid w:val="00860653"/>
    <w:rsid w:val="00862204"/>
    <w:rsid w:val="0087151A"/>
    <w:rsid w:val="008729BD"/>
    <w:rsid w:val="00873431"/>
    <w:rsid w:val="00873812"/>
    <w:rsid w:val="00880171"/>
    <w:rsid w:val="00881258"/>
    <w:rsid w:val="008814BC"/>
    <w:rsid w:val="00882EA8"/>
    <w:rsid w:val="00883AE3"/>
    <w:rsid w:val="00884C77"/>
    <w:rsid w:val="008941E8"/>
    <w:rsid w:val="00897CDF"/>
    <w:rsid w:val="008A6815"/>
    <w:rsid w:val="008A7D4A"/>
    <w:rsid w:val="008B0A41"/>
    <w:rsid w:val="008C00FE"/>
    <w:rsid w:val="008C243C"/>
    <w:rsid w:val="008C5922"/>
    <w:rsid w:val="008D0433"/>
    <w:rsid w:val="008E3DD8"/>
    <w:rsid w:val="008E5250"/>
    <w:rsid w:val="008E5FF1"/>
    <w:rsid w:val="008F07CF"/>
    <w:rsid w:val="008F1C73"/>
    <w:rsid w:val="008F5618"/>
    <w:rsid w:val="00904879"/>
    <w:rsid w:val="00906603"/>
    <w:rsid w:val="00907078"/>
    <w:rsid w:val="00916086"/>
    <w:rsid w:val="00945B38"/>
    <w:rsid w:val="00950AEC"/>
    <w:rsid w:val="00951C12"/>
    <w:rsid w:val="00951DC1"/>
    <w:rsid w:val="0095288F"/>
    <w:rsid w:val="0095505B"/>
    <w:rsid w:val="0095723D"/>
    <w:rsid w:val="00974001"/>
    <w:rsid w:val="0097509F"/>
    <w:rsid w:val="00975C9E"/>
    <w:rsid w:val="009768C5"/>
    <w:rsid w:val="00977420"/>
    <w:rsid w:val="00990C92"/>
    <w:rsid w:val="00990E49"/>
    <w:rsid w:val="009971AA"/>
    <w:rsid w:val="009971D1"/>
    <w:rsid w:val="00997975"/>
    <w:rsid w:val="009A6A02"/>
    <w:rsid w:val="009B0625"/>
    <w:rsid w:val="009B0CD9"/>
    <w:rsid w:val="009B7006"/>
    <w:rsid w:val="009B7B0A"/>
    <w:rsid w:val="009C343C"/>
    <w:rsid w:val="009C5110"/>
    <w:rsid w:val="009D09BE"/>
    <w:rsid w:val="009D19C7"/>
    <w:rsid w:val="009D32DF"/>
    <w:rsid w:val="009D4AF7"/>
    <w:rsid w:val="009D559B"/>
    <w:rsid w:val="009E47AA"/>
    <w:rsid w:val="009F576C"/>
    <w:rsid w:val="00A030DB"/>
    <w:rsid w:val="00A06493"/>
    <w:rsid w:val="00A066C5"/>
    <w:rsid w:val="00A121CB"/>
    <w:rsid w:val="00A12F79"/>
    <w:rsid w:val="00A138E1"/>
    <w:rsid w:val="00A165B1"/>
    <w:rsid w:val="00A172CF"/>
    <w:rsid w:val="00A2681C"/>
    <w:rsid w:val="00A27C9B"/>
    <w:rsid w:val="00A30067"/>
    <w:rsid w:val="00A3453E"/>
    <w:rsid w:val="00A43916"/>
    <w:rsid w:val="00A63235"/>
    <w:rsid w:val="00A6790E"/>
    <w:rsid w:val="00A72DEF"/>
    <w:rsid w:val="00A73024"/>
    <w:rsid w:val="00A81119"/>
    <w:rsid w:val="00A818DC"/>
    <w:rsid w:val="00A83ADD"/>
    <w:rsid w:val="00A94DFA"/>
    <w:rsid w:val="00A95BD5"/>
    <w:rsid w:val="00A95E45"/>
    <w:rsid w:val="00A96654"/>
    <w:rsid w:val="00A968A4"/>
    <w:rsid w:val="00AA0BA6"/>
    <w:rsid w:val="00AA2F31"/>
    <w:rsid w:val="00AB64A7"/>
    <w:rsid w:val="00AC311B"/>
    <w:rsid w:val="00AC638C"/>
    <w:rsid w:val="00AE08EC"/>
    <w:rsid w:val="00AE4988"/>
    <w:rsid w:val="00AF1367"/>
    <w:rsid w:val="00AF1D9A"/>
    <w:rsid w:val="00AF350B"/>
    <w:rsid w:val="00AF4BCC"/>
    <w:rsid w:val="00B04C46"/>
    <w:rsid w:val="00B063DD"/>
    <w:rsid w:val="00B17952"/>
    <w:rsid w:val="00B204B0"/>
    <w:rsid w:val="00B224CA"/>
    <w:rsid w:val="00B24EE2"/>
    <w:rsid w:val="00B26B0C"/>
    <w:rsid w:val="00B30156"/>
    <w:rsid w:val="00B32307"/>
    <w:rsid w:val="00B326D2"/>
    <w:rsid w:val="00B4111A"/>
    <w:rsid w:val="00B41D76"/>
    <w:rsid w:val="00B43D33"/>
    <w:rsid w:val="00B44BD5"/>
    <w:rsid w:val="00B45EB0"/>
    <w:rsid w:val="00B478C8"/>
    <w:rsid w:val="00B51521"/>
    <w:rsid w:val="00B53383"/>
    <w:rsid w:val="00B544B9"/>
    <w:rsid w:val="00B57901"/>
    <w:rsid w:val="00B63639"/>
    <w:rsid w:val="00B66095"/>
    <w:rsid w:val="00B66D75"/>
    <w:rsid w:val="00B72333"/>
    <w:rsid w:val="00B7678B"/>
    <w:rsid w:val="00B778E2"/>
    <w:rsid w:val="00B80B04"/>
    <w:rsid w:val="00B827EF"/>
    <w:rsid w:val="00B863E1"/>
    <w:rsid w:val="00B92763"/>
    <w:rsid w:val="00B9423C"/>
    <w:rsid w:val="00BB3427"/>
    <w:rsid w:val="00BB4774"/>
    <w:rsid w:val="00BD23B1"/>
    <w:rsid w:val="00BD7C70"/>
    <w:rsid w:val="00BE57A0"/>
    <w:rsid w:val="00BF1826"/>
    <w:rsid w:val="00BF268E"/>
    <w:rsid w:val="00BF27C9"/>
    <w:rsid w:val="00C1087C"/>
    <w:rsid w:val="00C17D1D"/>
    <w:rsid w:val="00C33C9B"/>
    <w:rsid w:val="00C36C2F"/>
    <w:rsid w:val="00C40660"/>
    <w:rsid w:val="00C41971"/>
    <w:rsid w:val="00C61826"/>
    <w:rsid w:val="00C712ED"/>
    <w:rsid w:val="00C7328F"/>
    <w:rsid w:val="00C8381C"/>
    <w:rsid w:val="00C933A3"/>
    <w:rsid w:val="00CA029F"/>
    <w:rsid w:val="00CA13BA"/>
    <w:rsid w:val="00CA1A0D"/>
    <w:rsid w:val="00CA2476"/>
    <w:rsid w:val="00CA5EEF"/>
    <w:rsid w:val="00CA72AD"/>
    <w:rsid w:val="00CB025D"/>
    <w:rsid w:val="00CB133E"/>
    <w:rsid w:val="00CB4210"/>
    <w:rsid w:val="00CB78E4"/>
    <w:rsid w:val="00CC6A5F"/>
    <w:rsid w:val="00CD2F81"/>
    <w:rsid w:val="00CD4922"/>
    <w:rsid w:val="00CD60CC"/>
    <w:rsid w:val="00CE031B"/>
    <w:rsid w:val="00CE4E19"/>
    <w:rsid w:val="00CE634D"/>
    <w:rsid w:val="00CF243A"/>
    <w:rsid w:val="00CF7BE9"/>
    <w:rsid w:val="00D03B5C"/>
    <w:rsid w:val="00D04469"/>
    <w:rsid w:val="00D0635B"/>
    <w:rsid w:val="00D065EA"/>
    <w:rsid w:val="00D06EF7"/>
    <w:rsid w:val="00D1155C"/>
    <w:rsid w:val="00D11B8C"/>
    <w:rsid w:val="00D1388D"/>
    <w:rsid w:val="00D21162"/>
    <w:rsid w:val="00D27735"/>
    <w:rsid w:val="00D30617"/>
    <w:rsid w:val="00D30BE9"/>
    <w:rsid w:val="00D33E39"/>
    <w:rsid w:val="00D3503A"/>
    <w:rsid w:val="00D45C81"/>
    <w:rsid w:val="00D4781A"/>
    <w:rsid w:val="00D50C14"/>
    <w:rsid w:val="00D520A4"/>
    <w:rsid w:val="00D60123"/>
    <w:rsid w:val="00D6613B"/>
    <w:rsid w:val="00D679FF"/>
    <w:rsid w:val="00D700A3"/>
    <w:rsid w:val="00D70D00"/>
    <w:rsid w:val="00D726FA"/>
    <w:rsid w:val="00D7494B"/>
    <w:rsid w:val="00D86748"/>
    <w:rsid w:val="00D876B0"/>
    <w:rsid w:val="00D91483"/>
    <w:rsid w:val="00D91A91"/>
    <w:rsid w:val="00DA65DE"/>
    <w:rsid w:val="00DB3F82"/>
    <w:rsid w:val="00DB473A"/>
    <w:rsid w:val="00DB4A46"/>
    <w:rsid w:val="00DB7488"/>
    <w:rsid w:val="00DB7E02"/>
    <w:rsid w:val="00DC42AA"/>
    <w:rsid w:val="00DC609B"/>
    <w:rsid w:val="00DC7442"/>
    <w:rsid w:val="00DD4990"/>
    <w:rsid w:val="00DD4D28"/>
    <w:rsid w:val="00DE057F"/>
    <w:rsid w:val="00DE30C4"/>
    <w:rsid w:val="00DE3BD5"/>
    <w:rsid w:val="00DE3EF5"/>
    <w:rsid w:val="00DE6575"/>
    <w:rsid w:val="00DE66A4"/>
    <w:rsid w:val="00DE6FB3"/>
    <w:rsid w:val="00DF5E00"/>
    <w:rsid w:val="00E07989"/>
    <w:rsid w:val="00E07EC1"/>
    <w:rsid w:val="00E139C1"/>
    <w:rsid w:val="00E14845"/>
    <w:rsid w:val="00E15C71"/>
    <w:rsid w:val="00E26D2F"/>
    <w:rsid w:val="00E327AC"/>
    <w:rsid w:val="00E41DB9"/>
    <w:rsid w:val="00E44D1D"/>
    <w:rsid w:val="00E52D3A"/>
    <w:rsid w:val="00E61270"/>
    <w:rsid w:val="00E64B57"/>
    <w:rsid w:val="00E709A4"/>
    <w:rsid w:val="00E72B9C"/>
    <w:rsid w:val="00E8107A"/>
    <w:rsid w:val="00E85FE7"/>
    <w:rsid w:val="00E9007E"/>
    <w:rsid w:val="00E90FB8"/>
    <w:rsid w:val="00E975FF"/>
    <w:rsid w:val="00EA10D8"/>
    <w:rsid w:val="00EA4529"/>
    <w:rsid w:val="00EA6110"/>
    <w:rsid w:val="00EB02A1"/>
    <w:rsid w:val="00EC6707"/>
    <w:rsid w:val="00ED5670"/>
    <w:rsid w:val="00ED6211"/>
    <w:rsid w:val="00ED7D75"/>
    <w:rsid w:val="00EE0468"/>
    <w:rsid w:val="00EE07A0"/>
    <w:rsid w:val="00EE2B2D"/>
    <w:rsid w:val="00EE58C9"/>
    <w:rsid w:val="00EE5BB2"/>
    <w:rsid w:val="00F07BBA"/>
    <w:rsid w:val="00F10E6B"/>
    <w:rsid w:val="00F15C37"/>
    <w:rsid w:val="00F17170"/>
    <w:rsid w:val="00F206E3"/>
    <w:rsid w:val="00F244EA"/>
    <w:rsid w:val="00F24E4C"/>
    <w:rsid w:val="00F27990"/>
    <w:rsid w:val="00F3092C"/>
    <w:rsid w:val="00F33225"/>
    <w:rsid w:val="00F33F75"/>
    <w:rsid w:val="00F3462B"/>
    <w:rsid w:val="00F42D6C"/>
    <w:rsid w:val="00F4310D"/>
    <w:rsid w:val="00F43B4F"/>
    <w:rsid w:val="00F47B9B"/>
    <w:rsid w:val="00F47E6A"/>
    <w:rsid w:val="00F544B9"/>
    <w:rsid w:val="00F573CD"/>
    <w:rsid w:val="00F579F2"/>
    <w:rsid w:val="00F6019F"/>
    <w:rsid w:val="00F705A8"/>
    <w:rsid w:val="00F76C74"/>
    <w:rsid w:val="00F82C55"/>
    <w:rsid w:val="00F842F7"/>
    <w:rsid w:val="00F84461"/>
    <w:rsid w:val="00F87D29"/>
    <w:rsid w:val="00F9597C"/>
    <w:rsid w:val="00FA2723"/>
    <w:rsid w:val="00FA2B7D"/>
    <w:rsid w:val="00FA4ECD"/>
    <w:rsid w:val="00FB1F70"/>
    <w:rsid w:val="00FB4187"/>
    <w:rsid w:val="00FB5E07"/>
    <w:rsid w:val="00FB6313"/>
    <w:rsid w:val="00FD139A"/>
    <w:rsid w:val="00FD6959"/>
    <w:rsid w:val="00FE16A0"/>
    <w:rsid w:val="00FE2BB2"/>
    <w:rsid w:val="00FE352A"/>
    <w:rsid w:val="00FE4186"/>
    <w:rsid w:val="00FE57C7"/>
    <w:rsid w:val="00FE7357"/>
    <w:rsid w:val="00FF1CCC"/>
    <w:rsid w:val="00FF2AF6"/>
    <w:rsid w:val="00FF41C7"/>
    <w:rsid w:val="00FF60BD"/>
    <w:rsid w:val="00FF6F5E"/>
    <w:rsid w:val="00FF7751"/>
    <w:rsid w:val="037E2CAF"/>
    <w:rsid w:val="087A2C57"/>
    <w:rsid w:val="09AB6852"/>
    <w:rsid w:val="0C3D5C66"/>
    <w:rsid w:val="0D1B1AD1"/>
    <w:rsid w:val="0E9F2FC3"/>
    <w:rsid w:val="123F6768"/>
    <w:rsid w:val="14493621"/>
    <w:rsid w:val="148E615E"/>
    <w:rsid w:val="169A5D71"/>
    <w:rsid w:val="17B03633"/>
    <w:rsid w:val="196B0350"/>
    <w:rsid w:val="1B13224F"/>
    <w:rsid w:val="1DC32C4C"/>
    <w:rsid w:val="1E2A27F8"/>
    <w:rsid w:val="2057075D"/>
    <w:rsid w:val="2AF9150B"/>
    <w:rsid w:val="2EBF460E"/>
    <w:rsid w:val="2F2F2D6F"/>
    <w:rsid w:val="30CC51D2"/>
    <w:rsid w:val="3300607A"/>
    <w:rsid w:val="335C4368"/>
    <w:rsid w:val="33614EC6"/>
    <w:rsid w:val="33FE0BA1"/>
    <w:rsid w:val="35061423"/>
    <w:rsid w:val="3C6E4145"/>
    <w:rsid w:val="3EE172A2"/>
    <w:rsid w:val="3F3E12A3"/>
    <w:rsid w:val="4C547E6A"/>
    <w:rsid w:val="4C94127D"/>
    <w:rsid w:val="4D215029"/>
    <w:rsid w:val="4F816BF6"/>
    <w:rsid w:val="56034DAD"/>
    <w:rsid w:val="58D92816"/>
    <w:rsid w:val="598958AB"/>
    <w:rsid w:val="59A73FC5"/>
    <w:rsid w:val="5A0348A1"/>
    <w:rsid w:val="5D7F3108"/>
    <w:rsid w:val="5E2C7D27"/>
    <w:rsid w:val="605A19E4"/>
    <w:rsid w:val="64DB6AA3"/>
    <w:rsid w:val="650B1734"/>
    <w:rsid w:val="6C297507"/>
    <w:rsid w:val="6D1A2C90"/>
    <w:rsid w:val="6E252124"/>
    <w:rsid w:val="74C4674B"/>
    <w:rsid w:val="77947D8F"/>
    <w:rsid w:val="79F604D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qFormat="1" w:unhideWhenUsed="0" w:uiPriority="99" w:semiHidden="0" w:name="List 3"/>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600" w:firstLineChars="200"/>
      <w:jc w:val="both"/>
    </w:pPr>
    <w:rPr>
      <w:rFonts w:ascii="Times New Roman" w:hAnsi="Times New Roman" w:eastAsia="仿宋_GB2312" w:cs="Times New Roman"/>
      <w:color w:val="000000"/>
      <w:kern w:val="2"/>
      <w:sz w:val="32"/>
      <w:szCs w:val="32"/>
      <w:u w:color="000000"/>
      <w:lang w:val="en-US" w:eastAsia="en-US" w:bidi="ar-SA"/>
    </w:rPr>
  </w:style>
  <w:style w:type="paragraph" w:styleId="2">
    <w:name w:val="heading 1"/>
    <w:basedOn w:val="1"/>
    <w:next w:val="1"/>
    <w:link w:val="42"/>
    <w:qFormat/>
    <w:uiPriority w:val="99"/>
    <w:pPr>
      <w:keepNext/>
      <w:keepLines/>
      <w:tabs>
        <w:tab w:val="left" w:pos="432"/>
      </w:tabs>
      <w:spacing w:before="340" w:after="330" w:line="578" w:lineRule="auto"/>
      <w:ind w:left="432" w:hanging="432"/>
      <w:outlineLvl w:val="0"/>
    </w:pPr>
    <w:rPr>
      <w:b/>
      <w:bCs/>
      <w:color w:val="auto"/>
      <w:kern w:val="44"/>
      <w:sz w:val="44"/>
      <w:szCs w:val="44"/>
      <w:lang w:eastAsia="zh-CN"/>
    </w:rPr>
  </w:style>
  <w:style w:type="paragraph" w:styleId="3">
    <w:name w:val="heading 2"/>
    <w:basedOn w:val="4"/>
    <w:next w:val="1"/>
    <w:link w:val="44"/>
    <w:qFormat/>
    <w:uiPriority w:val="99"/>
    <w:pPr>
      <w:ind w:left="420" w:hanging="420"/>
      <w:outlineLvl w:val="1"/>
    </w:pPr>
    <w:rPr>
      <w:rFonts w:hAnsi="Times New Roman" w:eastAsia="宋体"/>
      <w:b/>
      <w:sz w:val="28"/>
      <w:szCs w:val="28"/>
    </w:rPr>
  </w:style>
  <w:style w:type="paragraph" w:styleId="5">
    <w:name w:val="heading 3"/>
    <w:basedOn w:val="1"/>
    <w:next w:val="1"/>
    <w:link w:val="43"/>
    <w:qFormat/>
    <w:uiPriority w:val="99"/>
    <w:pPr>
      <w:keepNext/>
      <w:keepLines/>
      <w:outlineLvl w:val="2"/>
    </w:pPr>
    <w:rPr>
      <w:rFonts w:eastAsia="黑体"/>
      <w:color w:val="auto"/>
      <w:lang w:eastAsia="zh-CN"/>
    </w:rPr>
  </w:style>
  <w:style w:type="paragraph" w:styleId="6">
    <w:name w:val="heading 4"/>
    <w:basedOn w:val="1"/>
    <w:next w:val="1"/>
    <w:link w:val="45"/>
    <w:qFormat/>
    <w:uiPriority w:val="99"/>
    <w:pPr>
      <w:keepNext/>
      <w:keepLines/>
      <w:outlineLvl w:val="3"/>
    </w:pPr>
    <w:rPr>
      <w:rFonts w:eastAsia="楷体_GB2312"/>
      <w:color w:val="auto"/>
      <w:lang w:eastAsia="zh-CN"/>
    </w:rPr>
  </w:style>
  <w:style w:type="paragraph" w:styleId="7">
    <w:name w:val="heading 5"/>
    <w:basedOn w:val="1"/>
    <w:next w:val="1"/>
    <w:link w:val="46"/>
    <w:qFormat/>
    <w:uiPriority w:val="99"/>
    <w:pPr>
      <w:keepNext/>
      <w:keepLines/>
      <w:spacing w:before="280" w:after="290" w:line="374" w:lineRule="auto"/>
      <w:outlineLvl w:val="4"/>
    </w:pPr>
    <w:rPr>
      <w:b/>
      <w:bCs/>
      <w:color w:val="auto"/>
      <w:sz w:val="28"/>
      <w:szCs w:val="28"/>
      <w:lang w:eastAsia="zh-CN"/>
    </w:rPr>
  </w:style>
  <w:style w:type="paragraph" w:styleId="8">
    <w:name w:val="heading 6"/>
    <w:basedOn w:val="1"/>
    <w:next w:val="1"/>
    <w:link w:val="47"/>
    <w:qFormat/>
    <w:uiPriority w:val="99"/>
    <w:pPr>
      <w:keepNext/>
      <w:keepLines/>
      <w:spacing w:before="240" w:after="64" w:line="320" w:lineRule="auto"/>
      <w:outlineLvl w:val="5"/>
    </w:pPr>
    <w:rPr>
      <w:rFonts w:ascii="Arial" w:hAnsi="Arial" w:eastAsia="黑体"/>
      <w:b/>
      <w:bCs/>
      <w:color w:val="auto"/>
      <w:sz w:val="24"/>
      <w:szCs w:val="24"/>
      <w:lang w:eastAsia="zh-CN"/>
    </w:rPr>
  </w:style>
  <w:style w:type="paragraph" w:styleId="9">
    <w:name w:val="heading 7"/>
    <w:basedOn w:val="1"/>
    <w:next w:val="1"/>
    <w:link w:val="48"/>
    <w:qFormat/>
    <w:uiPriority w:val="99"/>
    <w:pPr>
      <w:keepNext/>
      <w:keepLines/>
      <w:spacing w:before="240" w:after="64" w:line="320" w:lineRule="auto"/>
      <w:outlineLvl w:val="6"/>
    </w:pPr>
    <w:rPr>
      <w:b/>
      <w:bCs/>
      <w:color w:val="auto"/>
      <w:sz w:val="24"/>
      <w:szCs w:val="24"/>
      <w:lang w:eastAsia="zh-CN"/>
    </w:rPr>
  </w:style>
  <w:style w:type="paragraph" w:styleId="10">
    <w:name w:val="heading 8"/>
    <w:basedOn w:val="1"/>
    <w:next w:val="1"/>
    <w:link w:val="49"/>
    <w:qFormat/>
    <w:uiPriority w:val="99"/>
    <w:pPr>
      <w:keepNext/>
      <w:keepLines/>
      <w:spacing w:before="240" w:after="64" w:line="320" w:lineRule="auto"/>
      <w:outlineLvl w:val="7"/>
    </w:pPr>
    <w:rPr>
      <w:rFonts w:ascii="Arial" w:hAnsi="Arial" w:eastAsia="黑体"/>
      <w:color w:val="auto"/>
      <w:sz w:val="24"/>
      <w:szCs w:val="24"/>
      <w:lang w:eastAsia="zh-CN"/>
    </w:rPr>
  </w:style>
  <w:style w:type="paragraph" w:styleId="11">
    <w:name w:val="heading 9"/>
    <w:basedOn w:val="1"/>
    <w:next w:val="1"/>
    <w:link w:val="50"/>
    <w:qFormat/>
    <w:uiPriority w:val="99"/>
    <w:pPr>
      <w:keepNext/>
      <w:keepLines/>
      <w:tabs>
        <w:tab w:val="left" w:pos="1584"/>
      </w:tabs>
      <w:spacing w:before="240" w:after="64" w:line="320" w:lineRule="auto"/>
      <w:ind w:left="1584" w:hanging="1584"/>
      <w:outlineLvl w:val="8"/>
    </w:pPr>
    <w:rPr>
      <w:rFonts w:ascii="Arial" w:hAnsi="Arial" w:eastAsia="黑体"/>
      <w:color w:val="auto"/>
      <w:sz w:val="21"/>
      <w:szCs w:val="21"/>
      <w:lang w:eastAsia="zh-CN"/>
    </w:rPr>
  </w:style>
  <w:style w:type="character" w:default="1" w:styleId="34">
    <w:name w:val="Default Paragraph Font"/>
    <w:semiHidden/>
    <w:unhideWhenUsed/>
    <w:qFormat/>
    <w:uiPriority w:val="1"/>
  </w:style>
  <w:style w:type="table" w:default="1" w:styleId="41">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link w:val="51"/>
    <w:qFormat/>
    <w:uiPriority w:val="99"/>
    <w:rPr>
      <w:rFonts w:ascii="宋体" w:hAnsi="Courier New" w:eastAsia="Times New Roman" w:cs="Courier New"/>
      <w:sz w:val="21"/>
      <w:szCs w:val="21"/>
    </w:rPr>
  </w:style>
  <w:style w:type="paragraph" w:styleId="12">
    <w:name w:val="List 3"/>
    <w:basedOn w:val="1"/>
    <w:qFormat/>
    <w:uiPriority w:val="99"/>
    <w:pPr>
      <w:ind w:left="100" w:leftChars="400" w:hanging="200" w:hangingChars="200"/>
    </w:pPr>
    <w:rPr>
      <w:color w:val="auto"/>
      <w:sz w:val="21"/>
      <w:szCs w:val="24"/>
      <w:lang w:eastAsia="zh-CN"/>
    </w:rPr>
  </w:style>
  <w:style w:type="paragraph" w:styleId="13">
    <w:name w:val="annotation subject"/>
    <w:basedOn w:val="14"/>
    <w:next w:val="14"/>
    <w:link w:val="53"/>
    <w:qFormat/>
    <w:uiPriority w:val="99"/>
    <w:rPr>
      <w:b/>
      <w:bCs/>
      <w:kern w:val="0"/>
    </w:rPr>
  </w:style>
  <w:style w:type="paragraph" w:styleId="14">
    <w:name w:val="annotation text"/>
    <w:basedOn w:val="1"/>
    <w:link w:val="52"/>
    <w:qFormat/>
    <w:uiPriority w:val="99"/>
  </w:style>
  <w:style w:type="paragraph" w:styleId="15">
    <w:name w:val="toc 7"/>
    <w:basedOn w:val="1"/>
    <w:next w:val="1"/>
    <w:qFormat/>
    <w:uiPriority w:val="99"/>
    <w:pPr>
      <w:ind w:left="2520" w:leftChars="1200"/>
    </w:pPr>
    <w:rPr>
      <w:rFonts w:ascii="Calibri" w:hAnsi="Calibri"/>
      <w:color w:val="auto"/>
      <w:sz w:val="21"/>
      <w:szCs w:val="22"/>
      <w:lang w:eastAsia="zh-CN"/>
    </w:rPr>
  </w:style>
  <w:style w:type="paragraph" w:styleId="16">
    <w:name w:val="Body Text"/>
    <w:basedOn w:val="1"/>
    <w:link w:val="54"/>
    <w:qFormat/>
    <w:uiPriority w:val="99"/>
    <w:pPr>
      <w:spacing w:after="120"/>
    </w:pPr>
    <w:rPr>
      <w:rFonts w:ascii="Calibri" w:hAnsi="Calibri"/>
      <w:color w:val="auto"/>
      <w:sz w:val="21"/>
      <w:szCs w:val="24"/>
      <w:lang w:eastAsia="zh-CN"/>
    </w:rPr>
  </w:style>
  <w:style w:type="paragraph" w:styleId="17">
    <w:name w:val="Body Text Indent"/>
    <w:basedOn w:val="1"/>
    <w:link w:val="55"/>
    <w:qFormat/>
    <w:uiPriority w:val="99"/>
    <w:pPr>
      <w:snapToGrid w:val="0"/>
      <w:ind w:firstLine="561"/>
    </w:pPr>
    <w:rPr>
      <w:sz w:val="28"/>
      <w:szCs w:val="22"/>
    </w:rPr>
  </w:style>
  <w:style w:type="paragraph" w:styleId="18">
    <w:name w:val="toc 5"/>
    <w:basedOn w:val="1"/>
    <w:next w:val="1"/>
    <w:qFormat/>
    <w:uiPriority w:val="99"/>
    <w:pPr>
      <w:ind w:left="1680" w:leftChars="800"/>
    </w:pPr>
    <w:rPr>
      <w:color w:val="auto"/>
      <w:sz w:val="21"/>
      <w:szCs w:val="24"/>
      <w:lang w:eastAsia="zh-CN"/>
    </w:rPr>
  </w:style>
  <w:style w:type="paragraph" w:styleId="19">
    <w:name w:val="toc 3"/>
    <w:basedOn w:val="1"/>
    <w:next w:val="1"/>
    <w:qFormat/>
    <w:uiPriority w:val="39"/>
    <w:pPr>
      <w:ind w:left="840" w:leftChars="400"/>
    </w:pPr>
    <w:rPr>
      <w:color w:val="auto"/>
      <w:sz w:val="21"/>
      <w:szCs w:val="24"/>
      <w:lang w:eastAsia="zh-CN"/>
    </w:rPr>
  </w:style>
  <w:style w:type="paragraph" w:styleId="20">
    <w:name w:val="toc 8"/>
    <w:basedOn w:val="1"/>
    <w:next w:val="1"/>
    <w:qFormat/>
    <w:uiPriority w:val="99"/>
    <w:pPr>
      <w:ind w:left="2940" w:leftChars="1400"/>
    </w:pPr>
    <w:rPr>
      <w:rFonts w:ascii="Calibri" w:hAnsi="Calibri"/>
      <w:color w:val="auto"/>
      <w:sz w:val="21"/>
      <w:szCs w:val="22"/>
      <w:lang w:eastAsia="zh-CN"/>
    </w:rPr>
  </w:style>
  <w:style w:type="paragraph" w:styleId="21">
    <w:name w:val="Date"/>
    <w:basedOn w:val="1"/>
    <w:next w:val="1"/>
    <w:link w:val="56"/>
    <w:qFormat/>
    <w:uiPriority w:val="99"/>
    <w:pPr>
      <w:ind w:left="100" w:leftChars="2500"/>
    </w:pPr>
    <w:rPr>
      <w:rFonts w:ascii="Calibri" w:hAnsi="Calibri"/>
      <w:color w:val="auto"/>
      <w:sz w:val="21"/>
      <w:szCs w:val="22"/>
      <w:lang w:eastAsia="zh-CN"/>
    </w:rPr>
  </w:style>
  <w:style w:type="paragraph" w:styleId="22">
    <w:name w:val="Body Text Indent 2"/>
    <w:basedOn w:val="1"/>
    <w:link w:val="57"/>
    <w:qFormat/>
    <w:uiPriority w:val="99"/>
    <w:pPr>
      <w:ind w:firstLine="570"/>
    </w:pPr>
    <w:rPr>
      <w:rFonts w:ascii="Calibri" w:hAnsi="Calibri"/>
      <w:color w:val="auto"/>
      <w:sz w:val="28"/>
      <w:szCs w:val="28"/>
      <w:lang w:eastAsia="zh-CN"/>
    </w:rPr>
  </w:style>
  <w:style w:type="paragraph" w:styleId="23">
    <w:name w:val="Balloon Text"/>
    <w:basedOn w:val="1"/>
    <w:link w:val="58"/>
    <w:qFormat/>
    <w:uiPriority w:val="99"/>
    <w:rPr>
      <w:kern w:val="0"/>
      <w:sz w:val="18"/>
      <w:szCs w:val="18"/>
    </w:rPr>
  </w:style>
  <w:style w:type="paragraph" w:styleId="24">
    <w:name w:val="footer"/>
    <w:basedOn w:val="1"/>
    <w:link w:val="59"/>
    <w:qFormat/>
    <w:uiPriority w:val="99"/>
    <w:pPr>
      <w:tabs>
        <w:tab w:val="center" w:pos="4153"/>
        <w:tab w:val="right" w:pos="8306"/>
      </w:tabs>
      <w:snapToGrid w:val="0"/>
    </w:pPr>
    <w:rPr>
      <w:sz w:val="18"/>
      <w:szCs w:val="18"/>
    </w:rPr>
  </w:style>
  <w:style w:type="paragraph" w:styleId="25">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rPr>
      <w:color w:val="auto"/>
      <w:sz w:val="21"/>
      <w:szCs w:val="24"/>
      <w:lang w:eastAsia="zh-CN"/>
    </w:rPr>
  </w:style>
  <w:style w:type="paragraph" w:styleId="27">
    <w:name w:val="toc 4"/>
    <w:basedOn w:val="1"/>
    <w:next w:val="1"/>
    <w:qFormat/>
    <w:uiPriority w:val="39"/>
    <w:pPr>
      <w:ind w:left="1260" w:leftChars="600"/>
    </w:pPr>
    <w:rPr>
      <w:color w:val="auto"/>
      <w:sz w:val="21"/>
      <w:szCs w:val="24"/>
      <w:lang w:eastAsia="zh-CN"/>
    </w:rPr>
  </w:style>
  <w:style w:type="paragraph" w:styleId="28">
    <w:name w:val="footnote text"/>
    <w:basedOn w:val="1"/>
    <w:link w:val="61"/>
    <w:qFormat/>
    <w:uiPriority w:val="99"/>
    <w:pPr>
      <w:snapToGrid w:val="0"/>
    </w:pPr>
    <w:rPr>
      <w:rFonts w:ascii="Calibri" w:hAnsi="Calibri"/>
      <w:color w:val="auto"/>
      <w:sz w:val="18"/>
      <w:szCs w:val="18"/>
      <w:lang w:eastAsia="zh-CN"/>
    </w:rPr>
  </w:style>
  <w:style w:type="paragraph" w:styleId="29">
    <w:name w:val="toc 6"/>
    <w:basedOn w:val="1"/>
    <w:next w:val="1"/>
    <w:qFormat/>
    <w:uiPriority w:val="99"/>
    <w:pPr>
      <w:ind w:left="2100" w:leftChars="1000"/>
    </w:pPr>
    <w:rPr>
      <w:rFonts w:ascii="Calibri" w:hAnsi="Calibri"/>
      <w:color w:val="auto"/>
      <w:sz w:val="21"/>
      <w:szCs w:val="22"/>
      <w:lang w:eastAsia="zh-CN"/>
    </w:rPr>
  </w:style>
  <w:style w:type="paragraph" w:styleId="30">
    <w:name w:val="toc 2"/>
    <w:basedOn w:val="1"/>
    <w:next w:val="1"/>
    <w:qFormat/>
    <w:uiPriority w:val="39"/>
    <w:pPr>
      <w:ind w:left="420" w:leftChars="200"/>
      <w:jc w:val="center"/>
    </w:pPr>
    <w:rPr>
      <w:color w:val="auto"/>
      <w:sz w:val="21"/>
      <w:szCs w:val="24"/>
      <w:lang w:eastAsia="zh-CN"/>
    </w:rPr>
  </w:style>
  <w:style w:type="paragraph" w:styleId="31">
    <w:name w:val="toc 9"/>
    <w:basedOn w:val="1"/>
    <w:next w:val="1"/>
    <w:qFormat/>
    <w:uiPriority w:val="99"/>
    <w:pPr>
      <w:ind w:left="3360" w:leftChars="1600"/>
    </w:pPr>
    <w:rPr>
      <w:rFonts w:ascii="Calibri" w:hAnsi="Calibri"/>
      <w:color w:val="auto"/>
      <w:sz w:val="21"/>
      <w:szCs w:val="22"/>
      <w:lang w:eastAsia="zh-CN"/>
    </w:rPr>
  </w:style>
  <w:style w:type="paragraph" w:styleId="32">
    <w:name w:val="Normal (Web)"/>
    <w:basedOn w:val="1"/>
    <w:qFormat/>
    <w:uiPriority w:val="99"/>
    <w:pPr>
      <w:spacing w:before="100" w:beforeAutospacing="1" w:after="100" w:afterAutospacing="1" w:line="408" w:lineRule="auto"/>
    </w:pPr>
    <w:rPr>
      <w:kern w:val="0"/>
      <w:sz w:val="18"/>
      <w:szCs w:val="18"/>
    </w:rPr>
  </w:style>
  <w:style w:type="paragraph" w:styleId="33">
    <w:name w:val="Title"/>
    <w:basedOn w:val="1"/>
    <w:link w:val="62"/>
    <w:qFormat/>
    <w:uiPriority w:val="99"/>
    <w:pPr>
      <w:spacing w:before="240" w:after="60"/>
      <w:jc w:val="center"/>
      <w:outlineLvl w:val="0"/>
    </w:pPr>
    <w:rPr>
      <w:rFonts w:ascii="Arial" w:hAnsi="Arial" w:cs="Arial"/>
      <w:b/>
      <w:bCs/>
      <w:color w:val="auto"/>
      <w:lang w:eastAsia="zh-CN"/>
    </w:rPr>
  </w:style>
  <w:style w:type="character" w:styleId="35">
    <w:name w:val="Strong"/>
    <w:basedOn w:val="34"/>
    <w:qFormat/>
    <w:uiPriority w:val="99"/>
    <w:rPr>
      <w:rFonts w:cs="Times New Roman"/>
      <w:b/>
      <w:bCs/>
    </w:rPr>
  </w:style>
  <w:style w:type="character" w:styleId="36">
    <w:name w:val="page number"/>
    <w:basedOn w:val="34"/>
    <w:qFormat/>
    <w:uiPriority w:val="99"/>
    <w:rPr>
      <w:rFonts w:cs="Times New Roman"/>
    </w:rPr>
  </w:style>
  <w:style w:type="character" w:styleId="37">
    <w:name w:val="FollowedHyperlink"/>
    <w:basedOn w:val="34"/>
    <w:qFormat/>
    <w:uiPriority w:val="99"/>
    <w:rPr>
      <w:rFonts w:cs="Times New Roman"/>
      <w:color w:val="954F72"/>
      <w:u w:val="single"/>
    </w:rPr>
  </w:style>
  <w:style w:type="character" w:styleId="38">
    <w:name w:val="Hyperlink"/>
    <w:basedOn w:val="34"/>
    <w:qFormat/>
    <w:uiPriority w:val="99"/>
    <w:rPr>
      <w:rFonts w:cs="Times New Roman"/>
      <w:u w:val="single"/>
    </w:rPr>
  </w:style>
  <w:style w:type="character" w:styleId="39">
    <w:name w:val="annotation reference"/>
    <w:basedOn w:val="34"/>
    <w:qFormat/>
    <w:uiPriority w:val="99"/>
    <w:rPr>
      <w:rFonts w:cs="Times New Roman"/>
      <w:sz w:val="21"/>
    </w:rPr>
  </w:style>
  <w:style w:type="character" w:styleId="40">
    <w:name w:val="footnote reference"/>
    <w:basedOn w:val="34"/>
    <w:qFormat/>
    <w:uiPriority w:val="99"/>
    <w:rPr>
      <w:rFonts w:cs="Times New Roman"/>
      <w:vertAlign w:val="superscript"/>
    </w:rPr>
  </w:style>
  <w:style w:type="character" w:customStyle="1" w:styleId="42">
    <w:name w:val="标题 1 Char"/>
    <w:basedOn w:val="34"/>
    <w:link w:val="2"/>
    <w:qFormat/>
    <w:locked/>
    <w:uiPriority w:val="99"/>
    <w:rPr>
      <w:rFonts w:ascii="Times New Roman" w:hAnsi="Times New Roman" w:eastAsia="宋体" w:cs="Times New Roman"/>
      <w:b/>
      <w:bCs/>
      <w:kern w:val="44"/>
      <w:sz w:val="44"/>
      <w:szCs w:val="44"/>
    </w:rPr>
  </w:style>
  <w:style w:type="character" w:customStyle="1" w:styleId="43">
    <w:name w:val="标题 3 Char"/>
    <w:basedOn w:val="34"/>
    <w:link w:val="5"/>
    <w:qFormat/>
    <w:locked/>
    <w:uiPriority w:val="99"/>
    <w:rPr>
      <w:rFonts w:ascii="Times New Roman" w:hAnsi="Times New Roman" w:eastAsia="黑体" w:cs="Times New Roman"/>
      <w:sz w:val="32"/>
      <w:szCs w:val="32"/>
    </w:rPr>
  </w:style>
  <w:style w:type="character" w:customStyle="1" w:styleId="44">
    <w:name w:val="标题 2 Char"/>
    <w:basedOn w:val="34"/>
    <w:link w:val="3"/>
    <w:qFormat/>
    <w:locked/>
    <w:uiPriority w:val="99"/>
    <w:rPr>
      <w:rFonts w:ascii="宋体" w:eastAsia="宋体" w:cs="Courier New"/>
      <w:b/>
      <w:color w:val="000000"/>
      <w:sz w:val="28"/>
      <w:szCs w:val="28"/>
      <w:u w:color="000000"/>
      <w:lang w:eastAsia="en-US"/>
    </w:rPr>
  </w:style>
  <w:style w:type="character" w:customStyle="1" w:styleId="45">
    <w:name w:val="标题 4 Char"/>
    <w:basedOn w:val="34"/>
    <w:link w:val="6"/>
    <w:qFormat/>
    <w:locked/>
    <w:uiPriority w:val="99"/>
    <w:rPr>
      <w:rFonts w:ascii="Times New Roman" w:hAnsi="Times New Roman" w:eastAsia="楷体_GB2312" w:cs="Times New Roman"/>
      <w:sz w:val="32"/>
      <w:szCs w:val="32"/>
    </w:rPr>
  </w:style>
  <w:style w:type="character" w:customStyle="1" w:styleId="46">
    <w:name w:val="标题 5 Char"/>
    <w:basedOn w:val="34"/>
    <w:link w:val="7"/>
    <w:qFormat/>
    <w:locked/>
    <w:uiPriority w:val="99"/>
    <w:rPr>
      <w:rFonts w:ascii="Times New Roman" w:hAnsi="Times New Roman" w:eastAsia="宋体" w:cs="Times New Roman"/>
      <w:b/>
      <w:bCs/>
      <w:sz w:val="28"/>
      <w:szCs w:val="28"/>
    </w:rPr>
  </w:style>
  <w:style w:type="character" w:customStyle="1" w:styleId="47">
    <w:name w:val="标题 6 Char"/>
    <w:basedOn w:val="34"/>
    <w:link w:val="8"/>
    <w:qFormat/>
    <w:locked/>
    <w:uiPriority w:val="99"/>
    <w:rPr>
      <w:rFonts w:ascii="Arial" w:hAnsi="Arial" w:eastAsia="黑体" w:cs="Times New Roman"/>
      <w:b/>
      <w:bCs/>
      <w:sz w:val="24"/>
      <w:szCs w:val="24"/>
    </w:rPr>
  </w:style>
  <w:style w:type="character" w:customStyle="1" w:styleId="48">
    <w:name w:val="标题 7 Char"/>
    <w:basedOn w:val="34"/>
    <w:link w:val="9"/>
    <w:qFormat/>
    <w:locked/>
    <w:uiPriority w:val="99"/>
    <w:rPr>
      <w:rFonts w:ascii="Times New Roman" w:hAnsi="Times New Roman" w:eastAsia="宋体" w:cs="Times New Roman"/>
      <w:b/>
      <w:bCs/>
      <w:sz w:val="24"/>
      <w:szCs w:val="24"/>
    </w:rPr>
  </w:style>
  <w:style w:type="character" w:customStyle="1" w:styleId="49">
    <w:name w:val="标题 8 Char"/>
    <w:basedOn w:val="34"/>
    <w:link w:val="10"/>
    <w:qFormat/>
    <w:locked/>
    <w:uiPriority w:val="99"/>
    <w:rPr>
      <w:rFonts w:ascii="Arial" w:hAnsi="Arial" w:eastAsia="黑体" w:cs="Times New Roman"/>
      <w:sz w:val="24"/>
      <w:szCs w:val="24"/>
    </w:rPr>
  </w:style>
  <w:style w:type="character" w:customStyle="1" w:styleId="50">
    <w:name w:val="标题 9 Char"/>
    <w:basedOn w:val="34"/>
    <w:link w:val="11"/>
    <w:qFormat/>
    <w:locked/>
    <w:uiPriority w:val="99"/>
    <w:rPr>
      <w:rFonts w:ascii="Arial" w:hAnsi="Arial" w:eastAsia="黑体" w:cs="Times New Roman"/>
      <w:sz w:val="21"/>
      <w:szCs w:val="21"/>
    </w:rPr>
  </w:style>
  <w:style w:type="character" w:customStyle="1" w:styleId="51">
    <w:name w:val="纯文本 Char"/>
    <w:basedOn w:val="34"/>
    <w:link w:val="4"/>
    <w:qFormat/>
    <w:locked/>
    <w:uiPriority w:val="99"/>
    <w:rPr>
      <w:rFonts w:ascii="宋体" w:hAnsi="Courier New" w:eastAsia="Times New Roman" w:cs="Courier New"/>
      <w:color w:val="000000"/>
      <w:sz w:val="21"/>
      <w:szCs w:val="21"/>
      <w:u w:color="000000"/>
      <w:lang w:eastAsia="en-US"/>
    </w:rPr>
  </w:style>
  <w:style w:type="character" w:customStyle="1" w:styleId="52">
    <w:name w:val="批注文字 Char1"/>
    <w:basedOn w:val="34"/>
    <w:link w:val="14"/>
    <w:qFormat/>
    <w:locked/>
    <w:uiPriority w:val="99"/>
    <w:rPr>
      <w:rFonts w:ascii="Arial Unicode MS" w:hAnsi="Arial Unicode MS" w:cs="Arial Unicode MS"/>
      <w:color w:val="000000"/>
      <w:sz w:val="20"/>
      <w:szCs w:val="20"/>
      <w:u w:color="000000"/>
      <w:lang w:eastAsia="en-US"/>
    </w:rPr>
  </w:style>
  <w:style w:type="character" w:customStyle="1" w:styleId="53">
    <w:name w:val="批注主题 Char"/>
    <w:basedOn w:val="52"/>
    <w:link w:val="13"/>
    <w:qFormat/>
    <w:locked/>
    <w:uiPriority w:val="99"/>
    <w:rPr>
      <w:rFonts w:ascii="Arial Unicode MS" w:hAnsi="Arial Unicode MS" w:cs="Arial Unicode MS"/>
      <w:b/>
      <w:color w:val="000000"/>
      <w:sz w:val="20"/>
      <w:szCs w:val="20"/>
      <w:u w:color="000000"/>
      <w:lang w:eastAsia="en-US"/>
    </w:rPr>
  </w:style>
  <w:style w:type="character" w:customStyle="1" w:styleId="54">
    <w:name w:val="正文文本 Char"/>
    <w:basedOn w:val="34"/>
    <w:link w:val="16"/>
    <w:qFormat/>
    <w:locked/>
    <w:uiPriority w:val="99"/>
    <w:rPr>
      <w:rFonts w:cs="Times New Roman"/>
      <w:sz w:val="24"/>
      <w:szCs w:val="24"/>
    </w:rPr>
  </w:style>
  <w:style w:type="character" w:customStyle="1" w:styleId="55">
    <w:name w:val="正文文本缩进 Char"/>
    <w:basedOn w:val="34"/>
    <w:link w:val="17"/>
    <w:qFormat/>
    <w:locked/>
    <w:uiPriority w:val="99"/>
    <w:rPr>
      <w:rFonts w:ascii="Arial Unicode MS" w:hAnsi="Arial Unicode MS" w:cs="Arial Unicode MS"/>
      <w:color w:val="000000"/>
      <w:sz w:val="28"/>
      <w:u w:color="000000"/>
      <w:lang w:eastAsia="en-US"/>
    </w:rPr>
  </w:style>
  <w:style w:type="character" w:customStyle="1" w:styleId="56">
    <w:name w:val="日期 Char"/>
    <w:basedOn w:val="34"/>
    <w:link w:val="21"/>
    <w:qFormat/>
    <w:locked/>
    <w:uiPriority w:val="99"/>
    <w:rPr>
      <w:rFonts w:cs="Times New Roman"/>
    </w:rPr>
  </w:style>
  <w:style w:type="character" w:customStyle="1" w:styleId="57">
    <w:name w:val="正文文本缩进 2 Char"/>
    <w:basedOn w:val="34"/>
    <w:link w:val="22"/>
    <w:qFormat/>
    <w:locked/>
    <w:uiPriority w:val="99"/>
    <w:rPr>
      <w:rFonts w:cs="Times New Roman"/>
      <w:sz w:val="28"/>
      <w:szCs w:val="28"/>
    </w:rPr>
  </w:style>
  <w:style w:type="character" w:customStyle="1" w:styleId="58">
    <w:name w:val="批注框文本 Char"/>
    <w:basedOn w:val="34"/>
    <w:link w:val="23"/>
    <w:qFormat/>
    <w:locked/>
    <w:uiPriority w:val="99"/>
    <w:rPr>
      <w:rFonts w:ascii="Arial Unicode MS" w:hAnsi="Arial Unicode MS" w:cs="Times New Roman"/>
      <w:color w:val="000000"/>
      <w:sz w:val="18"/>
      <w:u w:color="000000"/>
      <w:lang w:eastAsia="en-US"/>
    </w:rPr>
  </w:style>
  <w:style w:type="character" w:customStyle="1" w:styleId="59">
    <w:name w:val="页脚 Char"/>
    <w:basedOn w:val="34"/>
    <w:link w:val="24"/>
    <w:qFormat/>
    <w:locked/>
    <w:uiPriority w:val="99"/>
    <w:rPr>
      <w:rFonts w:cs="Times New Roman"/>
      <w:sz w:val="18"/>
      <w:szCs w:val="18"/>
    </w:rPr>
  </w:style>
  <w:style w:type="character" w:customStyle="1" w:styleId="60">
    <w:name w:val="页眉 Char"/>
    <w:basedOn w:val="34"/>
    <w:link w:val="25"/>
    <w:qFormat/>
    <w:locked/>
    <w:uiPriority w:val="99"/>
    <w:rPr>
      <w:rFonts w:cs="Times New Roman"/>
      <w:sz w:val="18"/>
      <w:szCs w:val="18"/>
    </w:rPr>
  </w:style>
  <w:style w:type="character" w:customStyle="1" w:styleId="61">
    <w:name w:val="脚注文本 Char"/>
    <w:basedOn w:val="34"/>
    <w:link w:val="28"/>
    <w:qFormat/>
    <w:locked/>
    <w:uiPriority w:val="99"/>
    <w:rPr>
      <w:rFonts w:cs="Times New Roman"/>
      <w:sz w:val="18"/>
      <w:szCs w:val="18"/>
    </w:rPr>
  </w:style>
  <w:style w:type="character" w:customStyle="1" w:styleId="62">
    <w:name w:val="标题 Char"/>
    <w:basedOn w:val="34"/>
    <w:link w:val="33"/>
    <w:qFormat/>
    <w:locked/>
    <w:uiPriority w:val="99"/>
    <w:rPr>
      <w:rFonts w:ascii="Arial" w:hAnsi="Arial" w:cs="Arial"/>
      <w:b/>
      <w:bCs/>
      <w:sz w:val="32"/>
      <w:szCs w:val="32"/>
    </w:rPr>
  </w:style>
  <w:style w:type="character" w:customStyle="1" w:styleId="63">
    <w:name w:val="标题3 Char"/>
    <w:link w:val="64"/>
    <w:qFormat/>
    <w:locked/>
    <w:uiPriority w:val="99"/>
    <w:rPr>
      <w:rFonts w:ascii="宋体" w:hAnsi="宋体" w:eastAsia="仿宋_GB2312"/>
      <w:b/>
      <w:sz w:val="28"/>
      <w:u w:color="000000"/>
    </w:rPr>
  </w:style>
  <w:style w:type="paragraph" w:customStyle="1" w:styleId="64">
    <w:name w:val="标题3"/>
    <w:basedOn w:val="4"/>
    <w:link w:val="63"/>
    <w:qFormat/>
    <w:uiPriority w:val="99"/>
    <w:pPr>
      <w:ind w:left="420" w:hanging="420"/>
    </w:pPr>
    <w:rPr>
      <w:rFonts w:hAnsi="宋体" w:eastAsia="仿宋_GB2312" w:cs="Times New Roman"/>
      <w:b/>
      <w:color w:val="auto"/>
      <w:kern w:val="0"/>
      <w:sz w:val="28"/>
      <w:szCs w:val="20"/>
      <w:lang w:eastAsia="zh-CN"/>
    </w:rPr>
  </w:style>
  <w:style w:type="character" w:customStyle="1" w:styleId="65">
    <w:name w:val="列出段落 Char"/>
    <w:link w:val="66"/>
    <w:qFormat/>
    <w:locked/>
    <w:uiPriority w:val="99"/>
    <w:rPr>
      <w:color w:val="000000"/>
      <w:kern w:val="2"/>
      <w:sz w:val="22"/>
      <w:u w:color="000000"/>
      <w:lang w:val="en-US" w:eastAsia="zh-CN"/>
    </w:rPr>
  </w:style>
  <w:style w:type="paragraph" w:customStyle="1" w:styleId="66">
    <w:name w:val="列出段落11"/>
    <w:link w:val="65"/>
    <w:qFormat/>
    <w:uiPriority w:val="99"/>
    <w:pPr>
      <w:widowControl w:val="0"/>
      <w:spacing w:line="360" w:lineRule="auto"/>
      <w:ind w:firstLine="420" w:firstLineChars="200"/>
      <w:jc w:val="both"/>
    </w:pPr>
    <w:rPr>
      <w:rFonts w:ascii="Calibri" w:hAnsi="Calibri" w:eastAsia="宋体" w:cs="Times New Roman"/>
      <w:color w:val="000000"/>
      <w:kern w:val="2"/>
      <w:sz w:val="21"/>
      <w:szCs w:val="22"/>
      <w:u w:color="000000"/>
      <w:lang w:val="en-US" w:eastAsia="zh-CN" w:bidi="ar-SA"/>
    </w:rPr>
  </w:style>
  <w:style w:type="character" w:customStyle="1" w:styleId="67">
    <w:name w:val="smalltxt1"/>
    <w:qFormat/>
    <w:uiPriority w:val="99"/>
    <w:rPr>
      <w:rFonts w:ascii="Arial" w:hAnsi="Arial"/>
      <w:sz w:val="17"/>
    </w:rPr>
  </w:style>
  <w:style w:type="paragraph" w:customStyle="1" w:styleId="68">
    <w:name w:val="_Style 32"/>
    <w:qFormat/>
    <w:uiPriority w:val="99"/>
    <w:pPr>
      <w:spacing w:line="360" w:lineRule="auto"/>
      <w:ind w:firstLine="200" w:firstLineChars="200"/>
    </w:pPr>
    <w:rPr>
      <w:rFonts w:ascii="Calibri" w:hAnsi="Calibri" w:eastAsia="宋体" w:cs="Times New Roman"/>
      <w:kern w:val="2"/>
      <w:sz w:val="21"/>
      <w:szCs w:val="22"/>
      <w:lang w:val="en-US" w:eastAsia="zh-CN" w:bidi="ar-SA"/>
    </w:rPr>
  </w:style>
  <w:style w:type="character" w:customStyle="1" w:styleId="69">
    <w:name w:val="Char Char4"/>
    <w:qFormat/>
    <w:locked/>
    <w:uiPriority w:val="99"/>
    <w:rPr>
      <w:kern w:val="2"/>
      <w:sz w:val="18"/>
    </w:rPr>
  </w:style>
  <w:style w:type="character" w:customStyle="1" w:styleId="70">
    <w:name w:val="articlecontent"/>
    <w:basedOn w:val="34"/>
    <w:qFormat/>
    <w:uiPriority w:val="99"/>
    <w:rPr>
      <w:rFonts w:cs="Times New Roman"/>
    </w:rPr>
  </w:style>
  <w:style w:type="character" w:customStyle="1" w:styleId="71">
    <w:name w:val="批注文字 Char"/>
    <w:qFormat/>
    <w:uiPriority w:val="99"/>
    <w:rPr>
      <w:kern w:val="2"/>
    </w:rPr>
  </w:style>
  <w:style w:type="paragraph" w:customStyle="1" w:styleId="72">
    <w:name w:val="样式 正文文字缩进 + 四号 首行缩进:  2 字符"/>
    <w:basedOn w:val="73"/>
    <w:next w:val="73"/>
    <w:qFormat/>
    <w:uiPriority w:val="99"/>
    <w:rPr>
      <w:rFonts w:ascii="仿宋_GB2312" w:eastAsia="仿宋_GB2312"/>
      <w:color w:val="auto"/>
    </w:rPr>
  </w:style>
  <w:style w:type="paragraph" w:customStyle="1" w:styleId="73">
    <w:name w:val="Default"/>
    <w:qFormat/>
    <w:uiPriority w:val="99"/>
    <w:pPr>
      <w:widowControl w:val="0"/>
      <w:autoSpaceDE w:val="0"/>
      <w:autoSpaceDN w:val="0"/>
      <w:adjustRightInd w:val="0"/>
      <w:spacing w:line="360" w:lineRule="auto"/>
      <w:ind w:firstLine="200" w:firstLineChars="200"/>
    </w:pPr>
    <w:rPr>
      <w:rFonts w:ascii="Times New Roman" w:hAnsi="Times New Roman" w:eastAsia="宋体" w:cs="Times New Roman"/>
      <w:color w:val="000000"/>
      <w:sz w:val="24"/>
      <w:szCs w:val="24"/>
      <w:lang w:val="en-US" w:eastAsia="zh-CN" w:bidi="ar-SA"/>
    </w:rPr>
  </w:style>
  <w:style w:type="character" w:customStyle="1" w:styleId="74">
    <w:name w:val="正文文本 Char1"/>
    <w:basedOn w:val="34"/>
    <w:semiHidden/>
    <w:qFormat/>
    <w:uiPriority w:val="99"/>
    <w:rPr>
      <w:rFonts w:ascii="Arial Unicode MS" w:hAnsi="Arial Unicode MS" w:cs="Arial Unicode MS"/>
      <w:color w:val="000000"/>
      <w:sz w:val="20"/>
      <w:szCs w:val="20"/>
      <w:u w:color="000000"/>
      <w:lang w:eastAsia="en-US"/>
    </w:rPr>
  </w:style>
  <w:style w:type="character" w:customStyle="1" w:styleId="75">
    <w:name w:val="批注主题 Char1"/>
    <w:basedOn w:val="52"/>
    <w:semiHidden/>
    <w:qFormat/>
    <w:uiPriority w:val="99"/>
    <w:rPr>
      <w:rFonts w:ascii="Arial Unicode MS" w:hAnsi="Arial Unicode MS" w:cs="Arial Unicode MS"/>
      <w:b/>
      <w:bCs/>
      <w:color w:val="000000"/>
      <w:sz w:val="20"/>
      <w:szCs w:val="20"/>
      <w:u w:color="000000"/>
      <w:lang w:eastAsia="en-US"/>
    </w:rPr>
  </w:style>
  <w:style w:type="paragraph" w:customStyle="1" w:styleId="76">
    <w:name w:val="样式1"/>
    <w:basedOn w:val="6"/>
    <w:qFormat/>
    <w:uiPriority w:val="99"/>
    <w:pPr>
      <w:outlineLvl w:val="1"/>
    </w:pPr>
    <w:rPr>
      <w:rFonts w:ascii="楷体_GB2312" w:hAnsi="华文楷体"/>
    </w:rPr>
  </w:style>
  <w:style w:type="paragraph" w:customStyle="1" w:styleId="77">
    <w:name w:val="页眉与页脚"/>
    <w:qFormat/>
    <w:uiPriority w:val="99"/>
    <w:pPr>
      <w:tabs>
        <w:tab w:val="right" w:pos="9020"/>
      </w:tabs>
      <w:spacing w:line="360" w:lineRule="auto"/>
      <w:ind w:firstLine="200" w:firstLineChars="200"/>
    </w:pPr>
    <w:rPr>
      <w:rFonts w:ascii="Helvetica" w:hAnsi="Helvetica" w:eastAsia="宋体" w:cs="Arial Unicode MS"/>
      <w:color w:val="000000"/>
      <w:sz w:val="24"/>
      <w:szCs w:val="24"/>
      <w:lang w:val="en-US" w:eastAsia="zh-CN" w:bidi="ar-SA"/>
    </w:rPr>
  </w:style>
  <w:style w:type="paragraph" w:customStyle="1" w:styleId="78">
    <w:name w:val="样式 标题 1 + 三号"/>
    <w:basedOn w:val="73"/>
    <w:next w:val="73"/>
    <w:qFormat/>
    <w:uiPriority w:val="99"/>
    <w:rPr>
      <w:rFonts w:ascii="华文仿宋" w:eastAsia="华文仿宋"/>
      <w:color w:val="auto"/>
    </w:rPr>
  </w:style>
  <w:style w:type="paragraph" w:customStyle="1" w:styleId="79">
    <w:name w:val="列出段落1"/>
    <w:basedOn w:val="1"/>
    <w:qFormat/>
    <w:uiPriority w:val="99"/>
    <w:pPr>
      <w:ind w:firstLine="420"/>
    </w:pPr>
  </w:style>
  <w:style w:type="character" w:customStyle="1" w:styleId="80">
    <w:name w:val="正文文本缩进 Char1"/>
    <w:basedOn w:val="34"/>
    <w:semiHidden/>
    <w:qFormat/>
    <w:uiPriority w:val="99"/>
    <w:rPr>
      <w:rFonts w:ascii="Arial Unicode MS" w:hAnsi="Arial Unicode MS" w:cs="Arial Unicode MS"/>
      <w:color w:val="000000"/>
      <w:sz w:val="20"/>
      <w:szCs w:val="20"/>
      <w:u w:color="000000"/>
      <w:lang w:eastAsia="en-US"/>
    </w:rPr>
  </w:style>
  <w:style w:type="character" w:customStyle="1" w:styleId="81">
    <w:name w:val="标题 Char1"/>
    <w:basedOn w:val="34"/>
    <w:qFormat/>
    <w:uiPriority w:val="99"/>
    <w:rPr>
      <w:rFonts w:ascii="Calibri Light" w:hAnsi="Calibri Light" w:eastAsia="宋体" w:cs="Times New Roman"/>
      <w:b/>
      <w:bCs/>
      <w:color w:val="000000"/>
      <w:sz w:val="32"/>
      <w:szCs w:val="32"/>
      <w:u w:color="000000"/>
      <w:lang w:eastAsia="en-US"/>
    </w:rPr>
  </w:style>
  <w:style w:type="character" w:customStyle="1" w:styleId="82">
    <w:name w:val="纯文本 Char1"/>
    <w:basedOn w:val="34"/>
    <w:semiHidden/>
    <w:qFormat/>
    <w:uiPriority w:val="99"/>
    <w:rPr>
      <w:rFonts w:ascii="宋体" w:hAnsi="Courier New" w:eastAsia="宋体" w:cs="Courier New"/>
      <w:color w:val="000000"/>
      <w:sz w:val="21"/>
      <w:szCs w:val="21"/>
      <w:u w:color="000000"/>
      <w:lang w:eastAsia="en-US"/>
    </w:rPr>
  </w:style>
  <w:style w:type="character" w:customStyle="1" w:styleId="83">
    <w:name w:val="脚注文本 Char1"/>
    <w:basedOn w:val="34"/>
    <w:semiHidden/>
    <w:qFormat/>
    <w:uiPriority w:val="99"/>
    <w:rPr>
      <w:rFonts w:ascii="Arial Unicode MS" w:hAnsi="Arial Unicode MS" w:cs="Arial Unicode MS"/>
      <w:color w:val="000000"/>
      <w:sz w:val="18"/>
      <w:szCs w:val="18"/>
      <w:u w:color="000000"/>
      <w:lang w:eastAsia="en-US"/>
    </w:rPr>
  </w:style>
  <w:style w:type="character" w:customStyle="1" w:styleId="84">
    <w:name w:val="页脚 Char1"/>
    <w:basedOn w:val="34"/>
    <w:semiHidden/>
    <w:qFormat/>
    <w:uiPriority w:val="99"/>
    <w:rPr>
      <w:rFonts w:ascii="Arial Unicode MS" w:hAnsi="Arial Unicode MS" w:cs="Arial Unicode MS"/>
      <w:color w:val="000000"/>
      <w:kern w:val="2"/>
      <w:sz w:val="18"/>
      <w:szCs w:val="18"/>
      <w:u w:color="000000"/>
      <w:lang w:eastAsia="en-US"/>
    </w:rPr>
  </w:style>
  <w:style w:type="character" w:customStyle="1" w:styleId="85">
    <w:name w:val="正文文本缩进 2 Char1"/>
    <w:basedOn w:val="34"/>
    <w:semiHidden/>
    <w:qFormat/>
    <w:uiPriority w:val="99"/>
    <w:rPr>
      <w:rFonts w:ascii="Arial Unicode MS" w:hAnsi="Arial Unicode MS" w:cs="Arial Unicode MS"/>
      <w:color w:val="000000"/>
      <w:sz w:val="20"/>
      <w:szCs w:val="20"/>
      <w:u w:color="000000"/>
      <w:lang w:eastAsia="en-US"/>
    </w:rPr>
  </w:style>
  <w:style w:type="character" w:customStyle="1" w:styleId="86">
    <w:name w:val="批注框文本 Char1"/>
    <w:basedOn w:val="34"/>
    <w:semiHidden/>
    <w:qFormat/>
    <w:uiPriority w:val="99"/>
    <w:rPr>
      <w:rFonts w:ascii="Arial Unicode MS" w:hAnsi="Arial Unicode MS" w:cs="Arial Unicode MS"/>
      <w:color w:val="000000"/>
      <w:sz w:val="18"/>
      <w:szCs w:val="18"/>
      <w:u w:color="000000"/>
      <w:lang w:eastAsia="en-US"/>
    </w:rPr>
  </w:style>
  <w:style w:type="character" w:customStyle="1" w:styleId="87">
    <w:name w:val="页眉 Char1"/>
    <w:basedOn w:val="34"/>
    <w:semiHidden/>
    <w:qFormat/>
    <w:uiPriority w:val="99"/>
    <w:rPr>
      <w:rFonts w:ascii="Arial Unicode MS" w:hAnsi="Arial Unicode MS" w:cs="Arial Unicode MS"/>
      <w:color w:val="000000"/>
      <w:kern w:val="2"/>
      <w:sz w:val="18"/>
      <w:szCs w:val="18"/>
      <w:u w:color="000000"/>
      <w:lang w:eastAsia="en-US"/>
    </w:rPr>
  </w:style>
  <w:style w:type="character" w:customStyle="1" w:styleId="88">
    <w:name w:val="日期 Char1"/>
    <w:basedOn w:val="34"/>
    <w:semiHidden/>
    <w:qFormat/>
    <w:uiPriority w:val="99"/>
    <w:rPr>
      <w:rFonts w:ascii="Arial Unicode MS" w:hAnsi="Arial Unicode MS" w:cs="Arial Unicode MS"/>
      <w:color w:val="000000"/>
      <w:sz w:val="20"/>
      <w:szCs w:val="20"/>
      <w:u w:color="000000"/>
      <w:lang w:eastAsia="en-US"/>
    </w:rPr>
  </w:style>
  <w:style w:type="paragraph" w:customStyle="1" w:styleId="89">
    <w:name w:val="标题1"/>
    <w:qFormat/>
    <w:uiPriority w:val="99"/>
    <w:pPr>
      <w:widowControl w:val="0"/>
      <w:spacing w:before="240" w:after="60" w:line="360" w:lineRule="auto"/>
      <w:ind w:firstLine="200" w:firstLineChars="200"/>
      <w:jc w:val="center"/>
      <w:outlineLvl w:val="0"/>
    </w:pPr>
    <w:rPr>
      <w:rFonts w:ascii="Arial Unicode MS" w:hAnsi="Arial Unicode MS" w:eastAsia="宋体" w:cs="Arial Unicode MS"/>
      <w:b/>
      <w:bCs/>
      <w:color w:val="000000"/>
      <w:kern w:val="2"/>
      <w:sz w:val="32"/>
      <w:szCs w:val="32"/>
      <w:u w:color="000000"/>
      <w:lang w:val="en-US" w:eastAsia="zh-CN" w:bidi="ar-SA"/>
    </w:rPr>
  </w:style>
  <w:style w:type="paragraph" w:customStyle="1" w:styleId="90">
    <w:name w:val="修订1"/>
    <w:qFormat/>
    <w:uiPriority w:val="99"/>
    <w:pPr>
      <w:spacing w:line="360" w:lineRule="auto"/>
      <w:ind w:firstLine="200" w:firstLineChars="200"/>
    </w:pPr>
    <w:rPr>
      <w:rFonts w:ascii="Times New Roman" w:hAnsi="Times New Roman" w:eastAsia="宋体" w:cs="Times New Roman"/>
      <w:kern w:val="2"/>
      <w:lang w:val="en-US" w:eastAsia="zh-CN" w:bidi="ar-SA"/>
    </w:rPr>
  </w:style>
  <w:style w:type="paragraph" w:customStyle="1" w:styleId="91">
    <w:name w:val="默认"/>
    <w:qFormat/>
    <w:uiPriority w:val="99"/>
    <w:pPr>
      <w:spacing w:line="360" w:lineRule="auto"/>
      <w:ind w:firstLine="200" w:firstLineChars="200"/>
    </w:pPr>
    <w:rPr>
      <w:rFonts w:ascii="Helvetica" w:hAnsi="Helvetica" w:eastAsia="宋体" w:cs="Helvetica"/>
      <w:color w:val="000000"/>
      <w:sz w:val="22"/>
      <w:szCs w:val="22"/>
      <w:lang w:val="en-US" w:eastAsia="zh-CN" w:bidi="ar-SA"/>
    </w:rPr>
  </w:style>
  <w:style w:type="paragraph" w:customStyle="1" w:styleId="92">
    <w:name w:val="页脚1"/>
    <w:qFormat/>
    <w:uiPriority w:val="99"/>
    <w:pPr>
      <w:widowControl w:val="0"/>
      <w:tabs>
        <w:tab w:val="center" w:pos="4153"/>
        <w:tab w:val="right" w:pos="8306"/>
      </w:tabs>
      <w:spacing w:line="360" w:lineRule="auto"/>
      <w:ind w:firstLine="200" w:firstLineChars="200"/>
    </w:pPr>
    <w:rPr>
      <w:rFonts w:ascii="Times New Roman" w:hAnsi="Times New Roman" w:eastAsia="宋体" w:cs="Arial Unicode MS"/>
      <w:color w:val="000000"/>
      <w:kern w:val="2"/>
      <w:sz w:val="18"/>
      <w:szCs w:val="18"/>
      <w:u w:color="000000"/>
      <w:lang w:val="en-US" w:eastAsia="zh-CN" w:bidi="ar-SA"/>
    </w:rPr>
  </w:style>
  <w:style w:type="paragraph" w:customStyle="1" w:styleId="93">
    <w:name w:val="标题 21"/>
    <w:next w:val="1"/>
    <w:qFormat/>
    <w:uiPriority w:val="99"/>
    <w:pPr>
      <w:keepNext/>
      <w:keepLines/>
      <w:widowControl w:val="0"/>
      <w:spacing w:before="260" w:after="260" w:line="416" w:lineRule="auto"/>
      <w:ind w:firstLine="420" w:firstLineChars="200"/>
      <w:jc w:val="both"/>
      <w:outlineLvl w:val="1"/>
    </w:pPr>
    <w:rPr>
      <w:rFonts w:ascii="Cambria" w:hAnsi="Cambria" w:eastAsia="宋体" w:cs="Cambria"/>
      <w:b/>
      <w:bCs/>
      <w:color w:val="000000"/>
      <w:kern w:val="2"/>
      <w:sz w:val="32"/>
      <w:szCs w:val="32"/>
      <w:u w:color="000000"/>
      <w:lang w:val="en-US" w:eastAsia="zh-CN" w:bidi="ar-SA"/>
    </w:rPr>
  </w:style>
  <w:style w:type="paragraph" w:customStyle="1" w:styleId="94">
    <w:name w:val="普通(网站)1"/>
    <w:qFormat/>
    <w:uiPriority w:val="99"/>
    <w:pPr>
      <w:spacing w:before="100" w:after="100" w:line="360" w:lineRule="auto"/>
      <w:ind w:firstLine="200" w:firstLineChars="200"/>
    </w:pPr>
    <w:rPr>
      <w:rFonts w:ascii="宋体" w:hAnsi="宋体" w:eastAsia="宋体" w:cs="宋体"/>
      <w:color w:val="000000"/>
      <w:sz w:val="24"/>
      <w:szCs w:val="24"/>
      <w:u w:color="000000"/>
      <w:lang w:val="en-US" w:eastAsia="zh-CN" w:bidi="ar-SA"/>
    </w:rPr>
  </w:style>
  <w:style w:type="paragraph" w:customStyle="1" w:styleId="95">
    <w:name w:val="CM29"/>
    <w:basedOn w:val="1"/>
    <w:next w:val="1"/>
    <w:qFormat/>
    <w:uiPriority w:val="99"/>
    <w:pPr>
      <w:autoSpaceDE w:val="0"/>
      <w:autoSpaceDN w:val="0"/>
      <w:adjustRightInd w:val="0"/>
    </w:pPr>
    <w:rPr>
      <w:color w:val="auto"/>
      <w:kern w:val="0"/>
      <w:sz w:val="24"/>
      <w:szCs w:val="24"/>
      <w:lang w:eastAsia="zh-CN"/>
    </w:rPr>
  </w:style>
  <w:style w:type="paragraph" w:customStyle="1" w:styleId="96">
    <w:name w:val="纯文本1"/>
    <w:qFormat/>
    <w:uiPriority w:val="99"/>
    <w:pPr>
      <w:widowControl w:val="0"/>
      <w:spacing w:line="360" w:lineRule="auto"/>
      <w:ind w:firstLine="200" w:firstLineChars="200"/>
      <w:jc w:val="both"/>
    </w:pPr>
    <w:rPr>
      <w:rFonts w:ascii="宋体" w:hAnsi="宋体" w:eastAsia="宋体" w:cs="宋体"/>
      <w:color w:val="000000"/>
      <w:kern w:val="2"/>
      <w:sz w:val="21"/>
      <w:szCs w:val="21"/>
      <w:u w:color="000000"/>
      <w:lang w:val="en-US" w:eastAsia="zh-CN" w:bidi="ar-SA"/>
    </w:rPr>
  </w:style>
  <w:style w:type="paragraph" w:customStyle="1" w:styleId="97">
    <w:name w:val="Char"/>
    <w:basedOn w:val="1"/>
    <w:qFormat/>
    <w:uiPriority w:val="99"/>
    <w:pPr>
      <w:spacing w:after="160" w:line="240" w:lineRule="exact"/>
    </w:pPr>
    <w:rPr>
      <w:rFonts w:ascii="Verdana" w:hAnsi="Verdana"/>
      <w:color w:val="auto"/>
      <w:kern w:val="0"/>
      <w:sz w:val="24"/>
    </w:rPr>
  </w:style>
  <w:style w:type="paragraph" w:customStyle="1" w:styleId="98">
    <w:name w:val="列出段落2"/>
    <w:basedOn w:val="1"/>
    <w:qFormat/>
    <w:uiPriority w:val="99"/>
    <w:pPr>
      <w:widowControl w:val="0"/>
      <w:spacing w:line="180" w:lineRule="exact"/>
      <w:ind w:firstLine="420"/>
    </w:pPr>
    <w:rPr>
      <w:color w:val="auto"/>
      <w:sz w:val="21"/>
      <w:szCs w:val="24"/>
      <w:lang w:eastAsia="zh-CN"/>
    </w:rPr>
  </w:style>
  <w:style w:type="paragraph" w:customStyle="1" w:styleId="99">
    <w:name w:val="样式1234"/>
    <w:basedOn w:val="3"/>
    <w:qFormat/>
    <w:uiPriority w:val="99"/>
    <w:pPr>
      <w:widowControl w:val="0"/>
      <w:numPr>
        <w:ilvl w:val="1"/>
        <w:numId w:val="1"/>
      </w:numPr>
      <w:snapToGrid w:val="0"/>
      <w:spacing w:beforeLines="100"/>
      <w:ind w:left="567" w:firstLine="0" w:firstLineChars="0"/>
    </w:pPr>
    <w:rPr>
      <w:rFonts w:ascii="仿宋_GB2312" w:hAnsi="仿宋" w:eastAsia="仿宋_GB2312" w:cs="Times New Roman"/>
      <w:b w:val="0"/>
      <w:sz w:val="30"/>
      <w:szCs w:val="30"/>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95F373-1E24-4964-AAFD-7280962F023D}">
  <ds:schemaRefs/>
</ds:datastoreItem>
</file>

<file path=docProps/app.xml><?xml version="1.0" encoding="utf-8"?>
<Properties xmlns="http://schemas.openxmlformats.org/officeDocument/2006/extended-properties" xmlns:vt="http://schemas.openxmlformats.org/officeDocument/2006/docPropsVTypes">
  <Template>Normal</Template>
  <Company>CFDA</Company>
  <Pages>27</Pages>
  <Words>8288</Words>
  <Characters>2323</Characters>
  <Lines>19</Lines>
  <Paragraphs>21</Paragraphs>
  <TotalTime>3</TotalTime>
  <ScaleCrop>false</ScaleCrop>
  <LinksUpToDate>false</LinksUpToDate>
  <CharactersWithSpaces>10590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2020-04-27T08:13:00Z</dcterms:created>
  <dc:creator>朱丽霞</dc:creator>
  <cp:lastModifiedBy>user</cp:lastModifiedBy>
  <cp:lastPrinted>2020-04-30T06:06:27Z</cp:lastPrinted>
  <dcterms:modified xsi:type="dcterms:W3CDTF">2020-04-30T06:07:51Z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